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0"/>
        <w:jc w:val="center"/>
      </w:pPr>
      <w:r>
        <w:rPr>
          <w:rFonts w:ascii="Arial" w:cs="Arial" w:eastAsia="Arial" w:hAnsi="Arial"/>
          <w:b/>
          <w:bCs/>
          <w:caps/>
          <w:sz w:val="30"/>
          <w:szCs w:val="30"/>
        </w:rPr>
        <w:t xml:space="preserve">TEMA 62</w:t>
      </w:r>
    </w:p>
    <w:p>
      <w:pPr>
        <w:spacing w:after="400" w:before="0"/>
        <w:jc w:val="center"/>
      </w:pPr>
      <w:r>
        <w:rPr>
          <w:rFonts w:ascii="Arial" w:cs="Arial" w:eastAsia="Arial" w:hAnsi="Arial"/>
          <w:b/>
          <w:bCs/>
          <w:sz w:val="24"/>
          <w:szCs w:val="24"/>
        </w:rPr>
        <w:t xml:space="preserve">Virtualización de plataforma y de recursos: Virtualización de Sistema Operativo. Cloud. Particiones Lógicas.</w:t>
      </w:r>
    </w:p>
    <w:p>
      <w:pPr>
        <w:pStyle w:val="Heading1"/>
        <w:spacing w:after="160" w:before="280"/>
      </w:pPr>
      <w:r>
        <w:rPr>
          <w:rFonts w:ascii="Arial" w:cs="Arial" w:eastAsia="Arial" w:hAnsi="Arial"/>
          <w:b/>
          <w:bCs/>
          <w:caps/>
          <w:sz w:val="28"/>
          <w:szCs w:val="28"/>
        </w:rPr>
        <w:t xml:space="preserve">1. Introducción a la Virtualización</w:t>
      </w:r>
    </w:p>
    <w:p>
      <w:pPr>
        <w:spacing w:after="80" w:before="80" w:line="276"/>
        <w:jc w:val="both"/>
      </w:pPr>
      <w:r>
        <w:rPr>
          <w:rFonts w:ascii="Arial" w:cs="Arial" w:eastAsia="Arial" w:hAnsi="Arial"/>
          <w:sz w:val="22"/>
          <w:szCs w:val="22"/>
        </w:rPr>
        <w:t xml:space="preserve">La virtualización constituye uno de los pilares tecnológicos sobre los que se asienta la infraestructura TI moderna. En sentido técnico, se define como el proceso de abstracción de los recursos físicos de hardware para crear entornos informáticos lógicos, aislados e independientes entre sí. Esta capa de software intermedia permite que una única infraestructura física soporte múltiples sistemas operativos o aplicaciones de forma simultánea, maximizando el rendimiento, la disponibilidad y la eficiencia en el uso de los recursos.</w:t>
      </w:r>
    </w:p>
    <w:p>
      <w:pPr>
        <w:spacing w:after="80" w:before="80" w:line="276"/>
        <w:jc w:val="both"/>
      </w:pPr>
      <w:r>
        <w:rPr>
          <w:rFonts w:ascii="Arial" w:cs="Arial" w:eastAsia="Arial" w:hAnsi="Arial"/>
          <w:sz w:val="22"/>
          <w:szCs w:val="22"/>
        </w:rPr>
        <w:t xml:space="preserve">La consolidación de la virtualización como estándar de facto en los centros de datos ha propiciado la evolución del modelo Cloud Computing, la generalización de las arquitecturas de microservicios y el desarrollo de soluciones de alta disponibilidad. Su relevancia para la Administración Pública es evidente: permite racionalizar el gasto en infraestructura, aumentar la resiliencia de los sistemas críticos y facilitar la modernización tecnológica sin reemplazar los sistemas legados.</w:t>
      </w:r>
    </w:p>
    <w:p>
      <w:pPr>
        <w:spacing w:after="80" w:before="80" w:line="276"/>
        <w:jc w:val="both"/>
      </w:pPr>
      <w:r>
        <w:rPr>
          <w:rFonts w:ascii="Arial" w:cs="Arial" w:eastAsia="Arial" w:hAnsi="Arial"/>
          <w:sz w:val="22"/>
          <w:szCs w:val="22"/>
        </w:rPr>
        <w:t xml:space="preserve">El elemento central de la virtualización es el hipervisor o Monitor de Máquina Virtual (VMM), cuya función es arbitrar el acceso de las instancias virtuales a los recursos físicos de CPU, memoria, almacenamiento y red. Se distinguen dos arquitecturas. El hipervisor de tipo 1 o bare-metal se ejecuta directamente sobre el hardware físico, sin sistema operativo anfitrión intermedio, lo que le otorga el máximo rendimiento y seguridad. Es el modelo empleado en entornos empresariales y de centro de datos, con exponentes como VMware ESXi, Microsoft Hyper-V y KVM. El hipervisor de tipo 2 u hosted se instala sobre un sistema operativo existente, lo que facilita entornos de desarrollo y pruebas, si bien introduce una capa adicional de latencia; VirtualBox es el ejemplo más representativo de esta categoría.</w:t>
      </w:r>
    </w:p>
    <w:p>
      <w:pPr>
        <w:pStyle w:val="Heading1"/>
        <w:spacing w:after="160" w:before="280"/>
      </w:pPr>
      <w:r>
        <w:rPr>
          <w:rFonts w:ascii="Arial" w:cs="Arial" w:eastAsia="Arial" w:hAnsi="Arial"/>
          <w:b/>
          <w:bCs/>
          <w:caps/>
          <w:sz w:val="28"/>
          <w:szCs w:val="28"/>
        </w:rPr>
        <w:t xml:space="preserve">2. Virtualización de Plataforma: Máquinas Virtuales</w:t>
      </w:r>
    </w:p>
    <w:p>
      <w:pPr>
        <w:spacing w:after="80" w:before="80" w:line="276"/>
        <w:jc w:val="both"/>
      </w:pPr>
      <w:r>
        <w:rPr>
          <w:rFonts w:ascii="Arial" w:cs="Arial" w:eastAsia="Arial" w:hAnsi="Arial"/>
          <w:sz w:val="22"/>
          <w:szCs w:val="22"/>
        </w:rPr>
        <w:t xml:space="preserve">La virtualización de plataforma hace referencia a la emulación íntegra del hardware físico, dando lugar a las denominadas Máquinas Virtuales (VM). Cada instancia dispone de su propio kernel, sus propios drivers virtuales y librerías de sistema, así como de sus servicios de inicio y gestión. Este modelo proporciona un aislamiento total entre instancias, lo que resulta esencial en entornos multi-inquilino (multi-tenant) que exigen fronteras de seguridad estrictas.</w:t>
      </w:r>
    </w:p>
    <w:p>
      <w:pPr>
        <w:spacing w:after="80" w:before="80" w:line="276"/>
        <w:jc w:val="both"/>
      </w:pPr>
      <w:r>
        <w:rPr>
          <w:rFonts w:ascii="Arial" w:cs="Arial" w:eastAsia="Arial" w:hAnsi="Arial"/>
          <w:sz w:val="22"/>
          <w:szCs w:val="22"/>
        </w:rPr>
        <w:t xml:space="preserve">Desde el punto de vista del rendimiento, la emulación de hardware conlleva una carga técnica conocida como virtualization tax. Una VM mínima requiere entre 400 y 900 MB de memoria base para sostener el sistema operativo invitado. A nivel de procesador, la emulación genera los denominados VM exits, eventos en los que el control pasa del sistema operativo invitado al hipervisor y que pueden consumir entre 200 y 10.000 ciclos de CPU dependiendo de la operación implicada. Este coste computacional, inherente al modelo de emulación completa, impulsó el desarrollo de alternativas más ligeras como la virtualización de sistema operativo.</w:t>
      </w:r>
    </w:p>
    <w:p>
      <w:pPr>
        <w:spacing w:after="80" w:before="80" w:line="276"/>
        <w:jc w:val="both"/>
      </w:pPr>
      <w:r>
        <w:rPr>
          <w:rFonts w:ascii="Arial" w:cs="Arial" w:eastAsia="Arial" w:hAnsi="Arial"/>
          <w:sz w:val="22"/>
          <w:szCs w:val="22"/>
        </w:rPr>
        <w:t xml:space="preserve">En cuanto a los casos de uso, las VMs son la opción idónea para aplicaciones con estado (stateful), sistemas legados que requieren kernels específicos, entornos que exigen aislamiento de hardware por razones de cumplimiento normativo y arquitecturas de multi-tenencia hostil. Frente a un eventual incidente de seguridad, el hipervisor actúa como barrera perimetral, limitando el radio de explosión y haciendo prácticamente improbable el llamado Hypervisor Escape.</w:t>
      </w:r>
    </w:p>
    <w:p>
      <w:pPr>
        <w:pStyle w:val="Heading1"/>
        <w:spacing w:after="160" w:before="280"/>
      </w:pPr>
      <w:r>
        <w:rPr>
          <w:rFonts w:ascii="Arial" w:cs="Arial" w:eastAsia="Arial" w:hAnsi="Arial"/>
          <w:b/>
          <w:bCs/>
          <w:caps/>
          <w:sz w:val="28"/>
          <w:szCs w:val="28"/>
        </w:rPr>
        <w:t xml:space="preserve">3. Virtualización de Sistema Operativo: Contenedores</w:t>
      </w:r>
    </w:p>
    <w:p>
      <w:pPr>
        <w:spacing w:after="80" w:before="80" w:line="276"/>
        <w:jc w:val="both"/>
      </w:pPr>
      <w:r>
        <w:rPr>
          <w:rFonts w:ascii="Arial" w:cs="Arial" w:eastAsia="Arial" w:hAnsi="Arial"/>
          <w:sz w:val="22"/>
          <w:szCs w:val="22"/>
        </w:rPr>
        <w:t xml:space="preserve">La virtualización de sistema operativo, conocida comúnmente como contenerización, representa una evolución del modelo anterior orientada a la eficiencia y la agilidad. A diferencia de las VMs, los contenedores no emulan hardware completo sino que comparten el kernel del sistema operativo anfitrión, estableciendo únicamente fronteras lógicas entre los procesos. Esta arquitectura se sustenta en dos mecanismos fundamentales del núcleo Linux.</w:t>
      </w:r>
    </w:p>
    <w:p>
      <w:pPr>
        <w:spacing w:after="80" w:before="80" w:line="276"/>
        <w:jc w:val="both"/>
      </w:pPr>
      <w:r>
        <w:rPr>
          <w:rFonts w:ascii="Arial" w:cs="Arial" w:eastAsia="Arial" w:hAnsi="Arial"/>
          <w:sz w:val="22"/>
          <w:szCs w:val="22"/>
        </w:rPr>
        <w:t xml:space="preserve">Los namespaces o espacios de nombres proporcionan aislamiento lógico al particionar los recursos del kernel: cada contenedor percibe únicamente sus propios procesos (espacio PID), sus interfaces de red y sus puntos de montaje, ignorando la existencia de los demás grupos en el mismo host. Los Control Groups o cgroups, por su parte, actúan como el mecanismo de limitación y contabilidad de recursos, definiendo cuotas estrictas de CPU, memoria y E/S para garantizar que ningún proceso monopolice el hardware subyacente.</w:t>
      </w:r>
    </w:p>
    <w:p>
      <w:pPr>
        <w:spacing w:after="80" w:before="80" w:line="276"/>
        <w:jc w:val="both"/>
      </w:pPr>
      <w:r>
        <w:rPr>
          <w:rFonts w:ascii="Arial" w:cs="Arial" w:eastAsia="Arial" w:hAnsi="Arial"/>
          <w:sz w:val="22"/>
          <w:szCs w:val="22"/>
        </w:rPr>
        <w:t xml:space="preserve">El modelo de imagen de contenedor se basa en sistemas de archivos de unión (Union Filesystems) y tecnología Copy-on-Write (CoW). Las capas base de la imagen son de solo lectura y se comparten entre múltiples contenedores, consumiendo almacenamiento adicional únicamente para los bloques de datos que se modifican. Este enfoque resulta hasta 60 veces más eficiente en almacenamiento que el modelo de disco virtual lineal de las VMs.</w:t>
      </w:r>
    </w:p>
    <w:p>
      <w:pPr>
        <w:spacing w:after="80" w:before="80" w:line="276"/>
        <w:jc w:val="both"/>
      </w:pPr>
      <w:r>
        <w:rPr>
          <w:rFonts w:ascii="Arial" w:cs="Arial" w:eastAsia="Arial" w:hAnsi="Arial"/>
          <w:sz w:val="22"/>
          <w:szCs w:val="22"/>
        </w:rPr>
        <w:t xml:space="preserve">Desde el punto de vista funcional, se distinguen dos tipologías. Los contenedores de sistema, como LXC y LXD, ofrecen un entorno similar al de una VM con sistema operativo completo y administración vía SSH, pero con latencia prácticamente nativa. Los contenedores de aplicación, paradigmatizados por Docker y Podman, están diseñados para empaquetar un único proceso o microservicio, optimizando el ciclo de vida del software mediante el paradigma build, ship and run.</w:t>
      </w:r>
    </w:p>
    <w:p>
      <w:pPr>
        <w:spacing w:after="80" w:before="80" w:line="276"/>
        <w:jc w:val="both"/>
      </w:pPr>
      <w:r>
        <w:rPr>
          <w:rFonts w:ascii="Arial" w:cs="Arial" w:eastAsia="Arial" w:hAnsi="Arial"/>
          <w:sz w:val="22"/>
          <w:szCs w:val="22"/>
        </w:rPr>
        <w:t xml:space="preserve">En el plano de la seguridad, el kernel compartido amplía la superficie de ataque: una vulnerabilidad en el núcleo del host podría comprometer a todos los contenedores residentes, fenómeno conocido como Container Escape. Para mitigarlo se emplean herramientas de endurecimiento como Seccomp, que filtra las llamadas al sistema permitidas, y AppArmor o SELinux, que implementan controles de acceso obligatorio. Para cargas de trabajo que requieren simultáneamente la agilidad del contenedor y la seguridad de la VM existen soluciones híbridas como gVisor —un kernel en espacio de usuario que intercepta las llamadas al sistema— y Kata Containers, basada en micro-VMs extremadamente ligeras.</w:t>
      </w:r>
    </w:p>
    <w:p>
      <w:pPr>
        <w:pStyle w:val="Heading1"/>
        <w:spacing w:after="160" w:before="280"/>
      </w:pPr>
      <w:r>
        <w:rPr>
          <w:rFonts w:ascii="Arial" w:cs="Arial" w:eastAsia="Arial" w:hAnsi="Arial"/>
          <w:b/>
          <w:bCs/>
          <w:caps/>
          <w:sz w:val="28"/>
          <w:szCs w:val="28"/>
        </w:rPr>
        <w:t xml:space="preserve">4. Particiones Lógicas (LPAR)</w:t>
      </w:r>
    </w:p>
    <w:p>
      <w:pPr>
        <w:spacing w:after="80" w:before="80" w:line="276"/>
        <w:jc w:val="both"/>
      </w:pPr>
      <w:r>
        <w:rPr>
          <w:rFonts w:ascii="Arial" w:cs="Arial" w:eastAsia="Arial" w:hAnsi="Arial"/>
          <w:sz w:val="22"/>
          <w:szCs w:val="22"/>
        </w:rPr>
        <w:t xml:space="preserve">Las Particiones Lógicas o LPAR (Logical Partitions) constituyen la aproximación a la virtualización propia de los sistemas de computación de alta disponibilidad, especialmente los mainframes. A través del firmware denominado PR/SM (Processor Resource/System Manager), un mainframe puede dividirse en múltiples particiones lógicas que operan como computadores independientes, cada una con sus propios recursos asignados de CPU, memoria y canales de entrada/salida, y con capacidad para ejecutar sistemas operativos distintos de forma simultánea.</w:t>
      </w:r>
    </w:p>
    <w:p>
      <w:pPr>
        <w:spacing w:after="80" w:before="80" w:line="276"/>
        <w:jc w:val="both"/>
      </w:pPr>
      <w:r>
        <w:rPr>
          <w:rFonts w:ascii="Arial" w:cs="Arial" w:eastAsia="Arial" w:hAnsi="Arial"/>
          <w:sz w:val="22"/>
          <w:szCs w:val="22"/>
        </w:rPr>
        <w:t xml:space="preserve">La introducción del Dynamic Partition Manager (DPM) en arquitecturas modernas como IBM z13 o IBM LinuxONE permite la reconfiguración dinámica de recursos —incluyendo canales de E/S y memoria— sin necesidad de reiniciar el sistema, lo que garantiza la continuidad de servicio en entornos de producción críticos. Cabe señalar que los mainframes contemporáneos operan en modo LPAR de forma exclusiva, incluso cuando se ejecuta una única partición, dado que este modo constituye el modelo de operación nativo del sistema.</w:t>
      </w:r>
    </w:p>
    <w:p>
      <w:pPr>
        <w:spacing w:after="80" w:before="80" w:line="276"/>
        <w:jc w:val="both"/>
      </w:pPr>
      <w:r>
        <w:rPr>
          <w:rFonts w:ascii="Arial" w:cs="Arial" w:eastAsia="Arial" w:hAnsi="Arial"/>
          <w:sz w:val="22"/>
          <w:szCs w:val="22"/>
        </w:rPr>
        <w:t xml:space="preserve">Las LPARs ofrecen ventajas específicas frente a otras formas de virtualización: el aislamiento es a nivel de hardware, el rendimiento es prácticamente nativo al no existir emulación de instrucciones, y la fiabilidad es muy superior a la de cualquier solución software. Por ello, las LPARs son la solución preferida en entornos que requieren los niveles más altos de disponibilidad y seguridad, como los sistemas de gestión tributaria, de Seguridad Social o de entidades financieras.</w:t>
      </w:r>
    </w:p>
    <w:p>
      <w:pPr>
        <w:pStyle w:val="Heading1"/>
        <w:spacing w:after="160" w:before="280"/>
      </w:pPr>
      <w:r>
        <w:rPr>
          <w:rFonts w:ascii="Arial" w:cs="Arial" w:eastAsia="Arial" w:hAnsi="Arial"/>
          <w:b/>
          <w:bCs/>
          <w:caps/>
          <w:sz w:val="28"/>
          <w:szCs w:val="28"/>
        </w:rPr>
        <w:t xml:space="preserve">5. Cloud Computing y Virtualización</w:t>
      </w:r>
    </w:p>
    <w:p>
      <w:pPr>
        <w:spacing w:after="80" w:before="80" w:line="276"/>
        <w:jc w:val="both"/>
      </w:pPr>
      <w:r>
        <w:rPr>
          <w:rFonts w:ascii="Arial" w:cs="Arial" w:eastAsia="Arial" w:hAnsi="Arial"/>
          <w:sz w:val="22"/>
          <w:szCs w:val="22"/>
        </w:rPr>
        <w:t xml:space="preserve">La virtualización es el sustrato tecnológico sobre el que se construye el Cloud Computing. La capacidad de abstraer y agrupar recursos físicos para distribuirlos dinámicamente entre múltiples usuarios o cargas de trabajo es precisamente la base del modelo de servicio en la nube, tal y como lo define el NIST: entrega bajo demanda de recursos informáticos a través de una red, con escalado elástico, autoservicio y pago por uso.</w:t>
      </w:r>
    </w:p>
    <w:p>
      <w:pPr>
        <w:spacing w:after="80" w:before="80" w:line="276"/>
        <w:jc w:val="both"/>
      </w:pPr>
      <w:r>
        <w:rPr>
          <w:rFonts w:ascii="Arial" w:cs="Arial" w:eastAsia="Arial" w:hAnsi="Arial"/>
          <w:sz w:val="22"/>
          <w:szCs w:val="22"/>
        </w:rPr>
        <w:t xml:space="preserve">En función del nivel de gestión que retiene el cliente, se distinguen tres modelos de servicio. En la Infraestructura como Servicio (IaaS) el proveedor facilita recursos virtualizados de cómputo, red y almacenamiento sobre los que el cliente despliega sus sistemas operativos y aplicaciones. En la Plataforma como Servicio (PaaS) se abstrae también la gestión del sistema operativo, ofreciendo entornos de desarrollo y ejecución listos para usar. En el Software como Servicio (SaaS) el usuario accede directamente a aplicaciones completamente gestionadas por el proveedor.</w:t>
      </w:r>
    </w:p>
    <w:p>
      <w:pPr>
        <w:spacing w:after="80" w:before="80" w:line="276"/>
        <w:jc w:val="both"/>
      </w:pPr>
      <w:r>
        <w:rPr>
          <w:rFonts w:ascii="Arial" w:cs="Arial" w:eastAsia="Arial" w:hAnsi="Arial"/>
          <w:sz w:val="22"/>
          <w:szCs w:val="22"/>
        </w:rPr>
        <w:t xml:space="preserve">Atendiendo al modelo de despliegue, se diferencian la nube pública, gestionada por un proveedor externo y compartida entre múltiples clientes; la nube privada, de uso exclusivo de una organización y gestionada en sus propias instalaciones o en un centro de datos dedicado; y la nube híbrida, que combina ambos modelos para optimizar la distribución de cargas de trabajo según sus requisitos de seguridad, latencia o coste.</w:t>
      </w:r>
    </w:p>
    <w:p>
      <w:pPr>
        <w:pStyle w:val="Heading1"/>
        <w:spacing w:after="160" w:before="280"/>
      </w:pPr>
      <w:r>
        <w:rPr>
          <w:rFonts w:ascii="Arial" w:cs="Arial" w:eastAsia="Arial" w:hAnsi="Arial"/>
          <w:b/>
          <w:bCs/>
          <w:caps/>
          <w:sz w:val="28"/>
          <w:szCs w:val="28"/>
        </w:rPr>
        <w:t xml:space="preserve">6. Análisis Comparativo y Estrategia de Implementación</w:t>
      </w:r>
    </w:p>
    <w:p>
      <w:pPr>
        <w:spacing w:after="80" w:before="80" w:line="276"/>
        <w:jc w:val="both"/>
      </w:pPr>
      <w:r>
        <w:rPr>
          <w:rFonts w:ascii="Arial" w:cs="Arial" w:eastAsia="Arial" w:hAnsi="Arial"/>
          <w:sz w:val="22"/>
          <w:szCs w:val="22"/>
        </w:rPr>
        <w:t xml:space="preserve">La elección entre virtualización de plataforma, virtualización de sistema operativo y particiones lógicas debe basarse en un análisis riguroso de los requisitos de cada carga de trabajo. Las VMs son preferibles cuando se exige aislamiento de hardware, compatibilidad con kernels específicos o cumplimiento de normativas que requieren separación física de entornos. Los contenedores resultan idóneos para arquitecturas de microservicios, pipelines de integración y despliegue continuo (CI/CD) y cargas de trabajo efímeras o sin estado. Las LPARs son la solución natural para sistemas de misión crítica que requieren los máximos niveles de disponibilidad y fiabilidad.</w:t>
      </w:r>
    </w:p>
    <w:p>
      <w:pPr>
        <w:spacing w:after="80" w:before="80" w:line="276"/>
        <w:jc w:val="both"/>
      </w:pPr>
      <w:r>
        <w:rPr>
          <w:rFonts w:ascii="Arial" w:cs="Arial" w:eastAsia="Arial" w:hAnsi="Arial"/>
          <w:sz w:val="22"/>
          <w:szCs w:val="22"/>
        </w:rPr>
        <w:t xml:space="preserve">En términos de densidad y rendimiento, los contenedores permiten alojar entre 10 y 15 veces más instancias que las VMs en el mismo hardware, con tiempos de arranque en torno a los 177 milisegundos frente a los decenas de segundos o minutos de las VMs. La sobrecarga de CPU es del 1-2% en contenedores frente al 5-20% en máquinas virtuales. No obstante, este mejor rendimiento tiene como contrapartida un aislamiento lógico menos robusto.</w:t>
      </w:r>
    </w:p>
    <w:p>
      <w:pPr>
        <w:spacing w:after="80" w:before="80" w:line="276"/>
        <w:jc w:val="both"/>
      </w:pPr>
      <w:r>
        <w:rPr>
          <w:rFonts w:ascii="Arial" w:cs="Arial" w:eastAsia="Arial" w:hAnsi="Arial"/>
          <w:sz w:val="22"/>
          <w:szCs w:val="22"/>
        </w:rPr>
        <w:t xml:space="preserve">La industria ha evolucionado hacia la estandarización del ecosistema de contenedores a través de la Cloud Native Computing Foundation (CNCF). Un hito relevante ha sido la deprecación del componente Docker-shim en Kubernetes en favor de runtimes nativos conformes a la Container Runtime Interface (CRI), como containerd y CRI-O, lo que elimina capas de traducción innecesarias y mejora la estabilidad de los clústeres.</w:t>
      </w:r>
    </w:p>
    <w:p>
      <w:pPr>
        <w:spacing w:after="80" w:before="80" w:line="276"/>
        <w:jc w:val="both"/>
      </w:pPr>
      <w:r>
        <w:rPr>
          <w:rFonts w:ascii="Arial" w:cs="Arial" w:eastAsia="Arial" w:hAnsi="Arial"/>
          <w:sz w:val="22"/>
          <w:szCs w:val="22"/>
        </w:rPr>
        <w:t xml:space="preserve">La estrategia más madura y recomendable para infraestructuras críticas es la arquitectura híbrida: ejecutar contenedores sobre máquinas virtuales. Esta topología permite capitalizar simultáneamente la flexibilidad y densidad de la contenerización y el aislamiento de hardware y la seguridad perimetral que proporcionan las VMs. Para la Administración Pública, esta coexistencia tecnológica no es solo una opción, sino la base de una infraestructura moderna, segura y alineada con los estándares de resiliencia y continuidad del servicio que exige la prestación de servicios públicos esenciales.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2026-06-02T17:43:04.014Z</dcterms:created>
  <dcterms:modified xsi:type="dcterms:W3CDTF">2026-06-02T17:43:04.014Z</dcterms:modified>
</cp:coreProperties>
</file>

<file path=docProps/custom.xml><?xml version="1.0" encoding="utf-8"?>
<Properties xmlns="http://schemas.openxmlformats.org/officeDocument/2006/custom-properties" xmlns:vt="http://schemas.openxmlformats.org/officeDocument/2006/docPropsVTypes"/>
</file>