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3864"/>
          <w:sz w:val="32"/>
          <w:szCs w:val="32"/>
        </w:rPr>
        <w:t xml:space="preserve">TEMA 65</w:t>
      </w:r>
    </w:p>
    <w:p>
      <w:pPr>
        <w:spacing w:after="360"/>
        <w:jc w:val="center"/>
      </w:pPr>
      <w:r>
        <w:rPr>
          <w:rFonts w:ascii="Arial" w:cs="Arial" w:eastAsia="Arial" w:hAnsi="Arial"/>
          <w:b/>
          <w:bCs/>
          <w:color w:val="1F3864"/>
          <w:sz w:val="24"/>
          <w:szCs w:val="24"/>
        </w:rPr>
        <w:t xml:space="preserve">CONMUTACIÓN: CONMUTACIÓN DE CIRCUITOS Y PAQUETES. INTEGRACIÓN VOZ-DATOS SOBRE IP. PROTOCOLOS DE ENCAMINAMIENTO. ETHERNET CONMUTADA. MPLS. CALIDAD DE SERVICIO (QoS)</w:t>
      </w:r>
    </w:p>
    <w:p>
      <w:pPr>
        <w:pStyle w:val="Heading1"/>
        <w:spacing w:after="120" w:before="200"/>
      </w:pPr>
      <w:r>
        <w:rPr>
          <w:rFonts w:ascii="Arial" w:cs="Arial" w:eastAsia="Arial" w:hAnsi="Arial"/>
          <w:b/>
          <w:bCs/>
        </w:rPr>
        <w:t xml:space="preserve">1. FUNDAMENTOS DE LA CONMUTACIÓN DE RED</w:t>
      </w:r>
    </w:p>
    <w:p>
      <w:pPr>
        <w:spacing w:after="100" w:before="60"/>
        <w:jc w:val="both"/>
      </w:pPr>
      <w:r>
        <w:rPr>
          <w:rFonts w:ascii="Arial" w:cs="Arial" w:eastAsia="Arial" w:hAnsi="Arial"/>
          <w:sz w:val="22"/>
          <w:szCs w:val="22"/>
        </w:rPr>
        <w:t xml:space="preserve">La conmutación es el mecanismo fundamental mediante el cual la información digital es dirigida a través de una red desde su origen hasta su destino. En el diseño de infraestructuras de telecomunicaciones, resulta imprescindible distinguir entre los dos paradigmas dominantes: la conmutación de circuitos y la conmutación de paquetes.</w:t>
      </w:r>
    </w:p>
    <w:p>
      <w:pPr>
        <w:pStyle w:val="Heading2"/>
        <w:spacing w:after="80" w:before="160"/>
      </w:pPr>
      <w:r>
        <w:rPr>
          <w:rFonts w:ascii="Arial" w:cs="Arial" w:eastAsia="Arial" w:hAnsi="Arial"/>
          <w:b/>
          <w:bCs/>
        </w:rPr>
        <w:t xml:space="preserve">1.1. Conmutación de Circuitos</w:t>
      </w:r>
    </w:p>
    <w:p>
      <w:pPr>
        <w:spacing w:after="100" w:before="60"/>
        <w:jc w:val="both"/>
      </w:pPr>
      <w:r>
        <w:rPr>
          <w:rFonts w:ascii="Arial" w:cs="Arial" w:eastAsia="Arial" w:hAnsi="Arial"/>
          <w:sz w:val="22"/>
          <w:szCs w:val="22"/>
        </w:rPr>
        <w:t xml:space="preserve">En la conmutación de circuitos se establece un canal físico dedicado entre los extremos comunicantes antes de iniciar la transmisión. Este proceso sigue tres fases: establecimiento, transmisión y liberación del circuito. El recurso queda reservado en exclusiva durante toda la sesión, lo que garantiza ausencia de variación en el retardo (jitter) y transmisión en tiempo real. Su principal inconveniente reside en la ineficiencia ante el tráfico en ráfagas, ya que el canal permanece ocupado incluso durante los periodos de silencio. Su aplicación típica es la telefonía analógica tradicional (POTS) y las redes GSM originales.</w:t>
      </w:r>
    </w:p>
    <w:p>
      <w:pPr>
        <w:pStyle w:val="Heading2"/>
        <w:spacing w:after="80" w:before="160"/>
      </w:pPr>
      <w:r>
        <w:rPr>
          <w:rFonts w:ascii="Arial" w:cs="Arial" w:eastAsia="Arial" w:hAnsi="Arial"/>
          <w:b/>
          <w:bCs/>
        </w:rPr>
        <w:t xml:space="preserve">1.2. Conmutación de Paquetes</w:t>
      </w:r>
    </w:p>
    <w:p>
      <w:pPr>
        <w:spacing w:after="100" w:before="60"/>
        <w:jc w:val="both"/>
      </w:pPr>
      <w:r>
        <w:rPr>
          <w:rFonts w:ascii="Arial" w:cs="Arial" w:eastAsia="Arial" w:hAnsi="Arial"/>
          <w:sz w:val="22"/>
          <w:szCs w:val="22"/>
        </w:rPr>
        <w:t xml:space="preserve">En la conmutación de paquetes, la información se fragmenta en unidades denominadas paquetes, que son encaminados de forma independiente a través de la red mediante la técnica de almacenamiento y reenvío (Store and Forward). No se requiere reserva previa de recursos, ya que el ancho de banda es compartido entre todos los flujos mediante multiplexación estadística, lo que maximiza la eficiencia del medio. El procesamiento se distribuye entre los nodos intermedios y los extremos. El principal desafío de este modelo es la variabilidad en el retardo, que debe ser gestionada mediante mecanismos de calidad de servicio. Es el modelo sobre el que se sustenta Internet y las redes LAN corporativas modernas.</w:t>
      </w:r>
    </w:p>
    <w:p>
      <w:pPr>
        <w:spacing w:after="100" w:before="60"/>
        <w:jc w:val="both"/>
      </w:pPr>
      <w:r>
        <w:rPr>
          <w:rFonts w:ascii="Arial" w:cs="Arial" w:eastAsia="Arial" w:hAnsi="Arial"/>
          <w:sz w:val="22"/>
          <w:szCs w:val="22"/>
        </w:rPr>
        <w:t xml:space="preserve">Existe una modalidad intermedia denominada circuito virtual, propia de tecnologías como Frame Relay o ATM, que combina el establecimiento previo de un camino lógico con el transporte segmentado en paquetes, intentando ofrecer las garantías del primero con la eficiencia del segundo.</w:t>
      </w:r>
    </w:p>
    <w:p>
      <w:pPr>
        <w:pStyle w:val="Heading1"/>
        <w:spacing w:after="120" w:before="200"/>
      </w:pPr>
      <w:r>
        <w:rPr>
          <w:rFonts w:ascii="Arial" w:cs="Arial" w:eastAsia="Arial" w:hAnsi="Arial"/>
          <w:b/>
          <w:bCs/>
        </w:rPr>
        <w:t xml:space="preserve">2. INTEGRACIÓN VOZ-DATOS SOBRE IP: VoIP</w:t>
      </w:r>
    </w:p>
    <w:p>
      <w:pPr>
        <w:spacing w:after="100" w:before="60"/>
        <w:jc w:val="both"/>
      </w:pPr>
      <w:r>
        <w:rPr>
          <w:rFonts w:ascii="Arial" w:cs="Arial" w:eastAsia="Arial" w:hAnsi="Arial"/>
          <w:sz w:val="22"/>
          <w:szCs w:val="22"/>
        </w:rPr>
        <w:t xml:space="preserve">La convergencia de servicios de voz y datos sobre infraestructuras IP constituye uno de los desafíos estratégicos más relevantes en las telecomunicaciones modernas. La Voz sobre IP (VoIP) exige separar con precisión las funciones de señalización del transporte de medios.</w:t>
      </w:r>
    </w:p>
    <w:p>
      <w:pPr>
        <w:pStyle w:val="Heading2"/>
        <w:spacing w:after="80" w:before="160"/>
      </w:pPr>
      <w:r>
        <w:rPr>
          <w:rFonts w:ascii="Arial" w:cs="Arial" w:eastAsia="Arial" w:hAnsi="Arial"/>
          <w:b/>
          <w:bCs/>
        </w:rPr>
        <w:t xml:space="preserve">2.1. Protocolos de Señalización y Transporte</w:t>
      </w:r>
    </w:p>
    <w:p>
      <w:pPr>
        <w:spacing w:after="100" w:before="60"/>
        <w:jc w:val="both"/>
      </w:pPr>
      <w:r>
        <w:rPr>
          <w:rFonts w:ascii="Arial" w:cs="Arial" w:eastAsia="Arial" w:hAnsi="Arial"/>
          <w:sz w:val="22"/>
          <w:szCs w:val="22"/>
        </w:rPr>
        <w:t xml:space="preserve">El protocolo SIP (Session Initiation Protocol, RFC 3261) opera en la capa de aplicación con un formato textual y modular. Sus elementos fundamentales son los Agentes de Usuario (UAs), los Proxies, los Registrars y los Redirect Servers. Los métodos principales que el opositor debe memorizar son: INVITE, ACK, BYE, CANCEL y REGISTER. SIP es compatible con IPv6 bajo RFC 6157, y sus cabeceras textuales clave son From, To, Call-ID y Contact.</w:t>
      </w:r>
    </w:p>
    <w:p>
      <w:pPr>
        <w:spacing w:after="100" w:before="60"/>
        <w:jc w:val="both"/>
      </w:pPr>
      <w:r>
        <w:rPr>
          <w:rFonts w:ascii="Arial" w:cs="Arial" w:eastAsia="Arial" w:hAnsi="Arial"/>
          <w:sz w:val="22"/>
          <w:szCs w:val="22"/>
        </w:rPr>
        <w:t xml:space="preserve">El transporte de los medios de audio se realiza mediante RTP (Real-time Transport Protocol), que proporciona secuenciación y marcas de tiempo (timestamps) para la correcta reconstrucción del audio en el receptor. Su protocolo de control asociado, RTCP, monitoriza estadísticas de red para la retroalimentación de calidad extremo a extremo.</w:t>
      </w:r>
    </w:p>
    <w:p>
      <w:pPr>
        <w:pStyle w:val="Heading2"/>
        <w:spacing w:after="80" w:before="160"/>
      </w:pPr>
      <w:r>
        <w:rPr>
          <w:rFonts w:ascii="Arial" w:cs="Arial" w:eastAsia="Arial" w:hAnsi="Arial"/>
          <w:b/>
          <w:bCs/>
        </w:rPr>
        <w:t xml:space="preserve">2.2. Umbrales de Calidad (MOS)</w:t>
      </w:r>
    </w:p>
    <w:p>
      <w:pPr>
        <w:spacing w:after="100" w:before="60"/>
        <w:jc w:val="both"/>
      </w:pPr>
      <w:r>
        <w:rPr>
          <w:rFonts w:ascii="Arial" w:cs="Arial" w:eastAsia="Arial" w:hAnsi="Arial"/>
          <w:sz w:val="22"/>
          <w:szCs w:val="22"/>
        </w:rPr>
        <w:t xml:space="preserve">La calidad de la experiencia de usuario en VoIP se cuantifica mediante el indicador MOS (Mean Opinion Score). Para garantizar una puntuación MOS elevada, la infraestructura debe cumplir estrictamente con los siguientes límites: latencia unidireccional inferior a 150 ms para evitar el solapamiento de conversaciones; variación del retardo o jitter inferior a 30 ms, mitigable mediante buffers de jitter con un máximo recomendado de 200 ms; y pérdida de paquetes inferior al 1% para mantener la inteligibilidad del audio. La viabilidad de estos flujos en tiempo real depende directamente de los mecanismos de QoS implementados en la red.</w:t>
      </w:r>
    </w:p>
    <w:p>
      <w:pPr>
        <w:pStyle w:val="Heading1"/>
        <w:spacing w:after="120" w:before="200"/>
      </w:pPr>
      <w:r>
        <w:rPr>
          <w:rFonts w:ascii="Arial" w:cs="Arial" w:eastAsia="Arial" w:hAnsi="Arial"/>
          <w:b/>
          <w:bCs/>
        </w:rPr>
        <w:t xml:space="preserve">3. PROTOCOLOS DE ENCAMINAMIENTO DINÁMICO</w:t>
      </w:r>
    </w:p>
    <w:p>
      <w:pPr>
        <w:spacing w:after="100" w:before="60"/>
        <w:jc w:val="both"/>
      </w:pPr>
      <w:r>
        <w:rPr>
          <w:rFonts w:ascii="Arial" w:cs="Arial" w:eastAsia="Arial" w:hAnsi="Arial"/>
          <w:sz w:val="22"/>
          <w:szCs w:val="22"/>
        </w:rPr>
        <w:t xml:space="preserve">Los protocolos de encaminamiento dinámico permiten a los routers descubrir y mantener automáticamente las rutas óptimas en la red. Se clasifican en protocolos de pasarela interior (IGP), utilizados dentro de un sistema autónomo, y protocolos de pasarela exterior (EGP), utilizados entre sistemas autónomos.</w:t>
      </w:r>
    </w:p>
    <w:p>
      <w:pPr>
        <w:pStyle w:val="Heading2"/>
        <w:spacing w:after="80" w:before="160"/>
      </w:pPr>
      <w:r>
        <w:rPr>
          <w:rFonts w:ascii="Arial" w:cs="Arial" w:eastAsia="Arial" w:hAnsi="Arial"/>
          <w:b/>
          <w:bCs/>
        </w:rPr>
        <w:t xml:space="preserve">3.1. RIP – Vector Distancia</w:t>
      </w:r>
    </w:p>
    <w:p>
      <w:pPr>
        <w:spacing w:after="100" w:before="60"/>
        <w:jc w:val="both"/>
      </w:pPr>
      <w:r>
        <w:rPr>
          <w:rFonts w:ascii="Arial" w:cs="Arial" w:eastAsia="Arial" w:hAnsi="Arial"/>
          <w:sz w:val="22"/>
          <w:szCs w:val="22"/>
        </w:rPr>
        <w:t xml:space="preserve">RIP (Routing Information Protocol) es un protocolo IGP basado en el algoritmo de Bellman-Ford, que utiliza el número de saltos como métrica con un límite máximo de 15, siendo el valor 16 considerado infinito (destino inalcanzable). Intercambia información mediante UDP, puerto 520. Para evitar el problema del conteo al infinito, emplea cuatro temporizadores críticos: Update (30 s), Invalid (180 s), Hold-down (180 s) y Flush (240 s). Su convergencia es lenta, lo que lo hace poco adecuado para redes grandes o de misión crítica.</w:t>
      </w:r>
    </w:p>
    <w:p>
      <w:pPr>
        <w:pStyle w:val="Heading2"/>
        <w:spacing w:after="80" w:before="160"/>
      </w:pPr>
      <w:r>
        <w:rPr>
          <w:rFonts w:ascii="Arial" w:cs="Arial" w:eastAsia="Arial" w:hAnsi="Arial"/>
          <w:b/>
          <w:bCs/>
        </w:rPr>
        <w:t xml:space="preserve">3.2. OSPF – Estado de Enlace</w:t>
      </w:r>
    </w:p>
    <w:p>
      <w:pPr>
        <w:spacing w:after="100" w:before="60"/>
        <w:jc w:val="both"/>
      </w:pPr>
      <w:r>
        <w:rPr>
          <w:rFonts w:ascii="Arial" w:cs="Arial" w:eastAsia="Arial" w:hAnsi="Arial"/>
          <w:sz w:val="22"/>
          <w:szCs w:val="22"/>
        </w:rPr>
        <w:t xml:space="preserve">OSPF (Open Shortest Path First) es el protocolo IGP de referencia en entornos empresariales. Opera directamente sobre IP con número de protocolo 89 y utiliza el algoritmo de Dijkstra (SPF) sobre una base de datos de estado de enlace (LSDB) sincronizada entre todos los routers del área mediante LSAs (Link State Advertisements). El proceso de cálculo de rutas sigue cuatro fases: inicialización con coste 0 para el origen y valor infinito para el resto; evaluación de adyacencias y actualización de costes de vecinos directos; selección del nodo de menor coste acumulado para incorporarlo al árbol de expansión; e iteración hasta completar la topología libre de bucles. Su convergencia es rápida y soporta diseño jerárquico mediante áreas, siendo el área 0 o backbone obligatoria.</w:t>
      </w:r>
    </w:p>
    <w:p>
      <w:pPr>
        <w:pStyle w:val="Heading2"/>
        <w:spacing w:after="80" w:before="160"/>
      </w:pPr>
      <w:r>
        <w:rPr>
          <w:rFonts w:ascii="Arial" w:cs="Arial" w:eastAsia="Arial" w:hAnsi="Arial"/>
          <w:b/>
          <w:bCs/>
        </w:rPr>
        <w:t xml:space="preserve">3.3. EIGRP y BGP</w:t>
      </w:r>
    </w:p>
    <w:p>
      <w:pPr>
        <w:spacing w:after="100" w:before="60"/>
        <w:jc w:val="both"/>
      </w:pPr>
      <w:r>
        <w:rPr>
          <w:rFonts w:ascii="Arial" w:cs="Arial" w:eastAsia="Arial" w:hAnsi="Arial"/>
          <w:sz w:val="22"/>
          <w:szCs w:val="22"/>
        </w:rPr>
        <w:t xml:space="preserve">EIGRP (Enhanced Interior Gateway Routing Protocol) opera sobre IP con número de protocolo 88. Utiliza el algoritmo DUAL con una métrica compuesta basada en ancho de banda y retardo, logrando una convergencia ultrarrápida gracias al mantenimiento de rutas alternativas previamente calculadas. BGP (Border Gateway Protocol) es el protocolo EGP de Internet. Establece sesiones entre routers mediante TCP, puerto 179, y toma decisiones de enrutamiento basadas en políticas a través de atributos como AS-Path y Local-Pref. Sus mensajes se identifican con el mnemónico OUKN: Open, Update, Keepalive y Notification. Su convergencia es moderada pero su escalabilidad es máxima.</w:t>
      </w:r>
    </w:p>
    <w:p>
      <w:pPr>
        <w:pStyle w:val="Heading1"/>
        <w:spacing w:after="120" w:before="200"/>
      </w:pPr>
      <w:r>
        <w:rPr>
          <w:rFonts w:ascii="Arial" w:cs="Arial" w:eastAsia="Arial" w:hAnsi="Arial"/>
          <w:b/>
          <w:bCs/>
        </w:rPr>
        <w:t xml:space="preserve">4. ETHERNET CONMUTADA: VLANs Y SPANNING TREE</w:t>
      </w:r>
    </w:p>
    <w:p>
      <w:pPr>
        <w:spacing w:after="100" w:before="60"/>
        <w:jc w:val="both"/>
      </w:pPr>
      <w:r>
        <w:rPr>
          <w:rFonts w:ascii="Arial" w:cs="Arial" w:eastAsia="Arial" w:hAnsi="Arial"/>
          <w:sz w:val="22"/>
          <w:szCs w:val="22"/>
        </w:rPr>
        <w:t xml:space="preserve">La Ethernet conmutada constituye la tecnología dominante en las redes de área local. A diferencia de los concentradores (hubs), los conmutadores (switches) operan en la capa 2 del modelo OSI, tomando decisiones de reenvío basadas en direcciones MAC y segmentando los dominios de colisión por puerto.</w:t>
      </w:r>
    </w:p>
    <w:p>
      <w:pPr>
        <w:pStyle w:val="Heading2"/>
        <w:spacing w:after="80" w:before="160"/>
      </w:pPr>
      <w:r>
        <w:rPr>
          <w:rFonts w:ascii="Arial" w:cs="Arial" w:eastAsia="Arial" w:hAnsi="Arial"/>
          <w:b/>
          <w:bCs/>
        </w:rPr>
        <w:t xml:space="preserve">4.1. Segmentación Lógica: VLANs (IEEE 802.1Q)</w:t>
      </w:r>
    </w:p>
    <w:p>
      <w:pPr>
        <w:spacing w:after="100" w:before="60"/>
        <w:jc w:val="both"/>
      </w:pPr>
      <w:r>
        <w:rPr>
          <w:rFonts w:ascii="Arial" w:cs="Arial" w:eastAsia="Arial" w:hAnsi="Arial"/>
          <w:sz w:val="22"/>
          <w:szCs w:val="22"/>
        </w:rPr>
        <w:t xml:space="preserve">Las redes de área local virtuales (VLANs) permiten segmentar lógicamente la red independientemente de la topología física, aislando dominios de difusión y mejorando la seguridad. El estándar IEEE 802.1Q define el etiquetado de tramas Ethernet mediante una cabecera de 4 bytes que incluye un campo de 12 bits para el identificador de VLAN, lo que permite hasta 4096 VLANs (rangos normales de 1 a 1005, y extendidos de 1006 a 4094). El campo PCP (Priority Code Point) de 3 bits dentro de esta etiqueta se utiliza para marcar la prioridad del tráfico en capa 2, siendo esencial para la VLAN de voz que transporta tráfico RTP.</w:t>
      </w:r>
    </w:p>
    <w:p>
      <w:pPr>
        <w:pStyle w:val="Heading2"/>
        <w:spacing w:after="80" w:before="160"/>
      </w:pPr>
      <w:r>
        <w:rPr>
          <w:rFonts w:ascii="Arial" w:cs="Arial" w:eastAsia="Arial" w:hAnsi="Arial"/>
          <w:b/>
          <w:bCs/>
        </w:rPr>
        <w:t xml:space="preserve">4.2. Protocolo de Árbol de Expansión: STP y Evolución</w:t>
      </w:r>
    </w:p>
    <w:p>
      <w:pPr>
        <w:spacing w:after="100" w:before="60"/>
        <w:jc w:val="both"/>
      </w:pPr>
      <w:r>
        <w:rPr>
          <w:rFonts w:ascii="Arial" w:cs="Arial" w:eastAsia="Arial" w:hAnsi="Arial"/>
          <w:sz w:val="22"/>
          <w:szCs w:val="22"/>
        </w:rPr>
        <w:t xml:space="preserve">El estándar IEEE 802.1D (STP) evita los bucles en la capa 2 mediante la elección de un Root Bridge, determinado por el Bridge ID más bajo (combinación de prioridad configurable y dirección MAC). A partir del Root Bridge, se bloquean los puertos redundantes que formarían bucles, dejando activo únicamente el camino de menor coste. Los costes de puerto definidos son: 100 para 10 Mbps, 19 para 100 Mbps, 4 para 1 Gbps y 2 para 10 Gbps. La convergencia del STP original es lenta (hasta 50 segundos), por lo que fue mejorado con RSTP (IEEE 802.1w), que reduce la convergencia a segundos mediante nuevos estados y roles de puerto. Para entornos con múltiples VLANs, MSTP (IEEE 802.1s) permite asociar grupos de VLANs a instancias STP independientes, habilitando el balanceo de carga por instancia.</w:t>
      </w:r>
    </w:p>
    <w:p>
      <w:pPr>
        <w:pStyle w:val="Heading1"/>
        <w:spacing w:after="120" w:before="200"/>
      </w:pPr>
      <w:r>
        <w:rPr>
          <w:rFonts w:ascii="Arial" w:cs="Arial" w:eastAsia="Arial" w:hAnsi="Arial"/>
          <w:b/>
          <w:bCs/>
        </w:rPr>
        <w:t xml:space="preserve">5. CONMUTACIÓN MULTIPROTOCOLO POR ETIQUETAS: MPLS</w:t>
      </w:r>
    </w:p>
    <w:p>
      <w:pPr>
        <w:spacing w:after="100" w:before="60"/>
        <w:jc w:val="both"/>
      </w:pPr>
      <w:r>
        <w:rPr>
          <w:rFonts w:ascii="Arial" w:cs="Arial" w:eastAsia="Arial" w:hAnsi="Arial"/>
          <w:sz w:val="22"/>
          <w:szCs w:val="22"/>
        </w:rPr>
        <w:t xml:space="preserve">MPLS (Multiprotocol Label Switching) opera en la denominada capa 2.5, entre la capa de enlace y la capa de red. Su objetivo es optimizar el reenvío en el núcleo de la red eliminando la necesidad de realizar la búsqueda del prefijo más largo (Longest Prefix Match) en cada salto.</w:t>
      </w:r>
    </w:p>
    <w:p>
      <w:pPr>
        <w:pStyle w:val="Heading2"/>
        <w:spacing w:after="80" w:before="160"/>
      </w:pPr>
      <w:r>
        <w:rPr>
          <w:rFonts w:ascii="Arial" w:cs="Arial" w:eastAsia="Arial" w:hAnsi="Arial"/>
          <w:b/>
          <w:bCs/>
        </w:rPr>
        <w:t xml:space="preserve">5.1. Cabecera Shim y Roles Funcionales</w:t>
      </w:r>
    </w:p>
    <w:p>
      <w:pPr>
        <w:spacing w:after="100" w:before="60"/>
        <w:jc w:val="both"/>
      </w:pPr>
      <w:r>
        <w:rPr>
          <w:rFonts w:ascii="Arial" w:cs="Arial" w:eastAsia="Arial" w:hAnsi="Arial"/>
          <w:sz w:val="22"/>
          <w:szCs w:val="22"/>
        </w:rPr>
        <w:t xml:space="preserve">La cabecera MPLS, denominada shim, tiene una longitud de 32 bits y se inserta entre la cabecera de capa 2 y la cabecera IP. Sus campos son: etiqueta (20 bits) con el valor numérico usado para la conmutación; EXP (3 bits) para la gestión de QoS; bit S o Bottom of Stack (1 bit), que indica si es la última etiqueta de la pila cuando vale 1; y TTL (8 bits), réplica funcional del campo TTL de IP.</w:t>
      </w:r>
    </w:p>
    <w:p>
      <w:pPr>
        <w:spacing w:after="100" w:before="60"/>
        <w:jc w:val="both"/>
      </w:pPr>
      <w:r>
        <w:rPr>
          <w:rFonts w:ascii="Arial" w:cs="Arial" w:eastAsia="Arial" w:hAnsi="Arial"/>
          <w:sz w:val="22"/>
          <w:szCs w:val="22"/>
        </w:rPr>
        <w:t xml:space="preserve">Los dispositivos MPLS se clasifican en dos tipos. Los LER (Label Edge Router) se sitúan en los bordes del dominio MPLS y realizan la imposición de etiquetas (Push) al entrar al dominio y la disposición (Pop) al abandonarlo. Los LSR (Label Switch Router) operan en el núcleo y ejecutan el intercambio (Swap) de etiquetas, reenviando paquetes según la FEC (Forwarding Equivalence Class) sin necesidad de inspeccionar la cabecera IP.</w:t>
      </w:r>
    </w:p>
    <w:p>
      <w:pPr>
        <w:pStyle w:val="Heading2"/>
        <w:spacing w:after="80" w:before="160"/>
      </w:pPr>
      <w:r>
        <w:rPr>
          <w:rFonts w:ascii="Arial" w:cs="Arial" w:eastAsia="Arial" w:hAnsi="Arial"/>
          <w:b/>
          <w:bCs/>
        </w:rPr>
        <w:t xml:space="preserve">5.2. Ingeniería de Tráfico y Fast Reroute</w:t>
      </w:r>
    </w:p>
    <w:p>
      <w:pPr>
        <w:spacing w:after="100" w:before="60"/>
        <w:jc w:val="both"/>
      </w:pPr>
      <w:r>
        <w:rPr>
          <w:rFonts w:ascii="Arial" w:cs="Arial" w:eastAsia="Arial" w:hAnsi="Arial"/>
          <w:sz w:val="22"/>
          <w:szCs w:val="22"/>
        </w:rPr>
        <w:t xml:space="preserve">MPLS-TE (Traffic Engineering) permite establecer LSPs (Label Switched Paths) con restricciones de ancho de banda y ruta explícita, superando las limitaciones del enrutamiento IP basado únicamente en el camino más corto. El mecanismo Fast Reroute (FRR) permite conmutar el tráfico a rutas de protección preestablecidas ante un fallo de enlace o nodo en milisegundos, superando la velocidad de convergencia de cualquier protocolo IGP.</w:t>
      </w:r>
    </w:p>
    <w:p>
      <w:pPr>
        <w:pStyle w:val="Heading1"/>
        <w:spacing w:after="120" w:before="200"/>
      </w:pPr>
      <w:r>
        <w:rPr>
          <w:rFonts w:ascii="Arial" w:cs="Arial" w:eastAsia="Arial" w:hAnsi="Arial"/>
          <w:b/>
          <w:bCs/>
        </w:rPr>
        <w:t xml:space="preserve">6. CALIDAD DE SERVICIO (QoS)</w:t>
      </w:r>
    </w:p>
    <w:p>
      <w:pPr>
        <w:spacing w:after="100" w:before="60"/>
        <w:jc w:val="both"/>
      </w:pPr>
      <w:r>
        <w:rPr>
          <w:rFonts w:ascii="Arial" w:cs="Arial" w:eastAsia="Arial" w:hAnsi="Arial"/>
          <w:sz w:val="22"/>
          <w:szCs w:val="22"/>
        </w:rPr>
        <w:t xml:space="preserve">La Calidad de Servicio (QoS) es el conjunto de mecanismos técnicos que permiten gestionar la congestión y garantizar el comportamiento diferenciado del tráfico en una red de paquetes. Su aplicación es imprescindible para garantizar los umbrales de VoIP y otros servicios críticos en tiempo real.</w:t>
      </w:r>
    </w:p>
    <w:p>
      <w:pPr>
        <w:pStyle w:val="Heading2"/>
        <w:spacing w:after="80" w:before="160"/>
      </w:pPr>
      <w:r>
        <w:rPr>
          <w:rFonts w:ascii="Arial" w:cs="Arial" w:eastAsia="Arial" w:hAnsi="Arial"/>
          <w:b/>
          <w:bCs/>
        </w:rPr>
        <w:t xml:space="preserve">6.1. Clasificación y Marcado</w:t>
      </w:r>
    </w:p>
    <w:p>
      <w:pPr>
        <w:spacing w:after="100" w:before="60"/>
        <w:jc w:val="both"/>
      </w:pPr>
      <w:r>
        <w:rPr>
          <w:rFonts w:ascii="Arial" w:cs="Arial" w:eastAsia="Arial" w:hAnsi="Arial"/>
          <w:sz w:val="22"/>
          <w:szCs w:val="22"/>
        </w:rPr>
        <w:t xml:space="preserve">La QoS se aplica en múltiples capas del modelo OSI. En la capa 2, el campo PCP o CoS (Class of Service) de la etiqueta 802.1Q permite 8 niveles de prioridad. En la capa 3, el campo DSCP (Differentiated Services Code Point) de 6 bits del encabezado IP permite definir hasta 64 clases de comportamiento (PHB). El valor DSCP EF (Expedited Forwarding), con valor decimal 46, es el estándar para el tráfico de voz, garantizando el mínimo retardo y la máxima prioridad de envío.</w:t>
      </w:r>
    </w:p>
    <w:p>
      <w:pPr>
        <w:pStyle w:val="Heading2"/>
        <w:spacing w:after="80" w:before="160"/>
      </w:pPr>
      <w:r>
        <w:rPr>
          <w:rFonts w:ascii="Arial" w:cs="Arial" w:eastAsia="Arial" w:hAnsi="Arial"/>
          <w:b/>
          <w:bCs/>
        </w:rPr>
        <w:t xml:space="preserve">6.2. Algoritmos de Encolamiento</w:t>
      </w:r>
    </w:p>
    <w:p>
      <w:pPr>
        <w:spacing w:after="100" w:before="60"/>
        <w:jc w:val="both"/>
      </w:pPr>
      <w:r>
        <w:rPr>
          <w:rFonts w:ascii="Arial" w:cs="Arial" w:eastAsia="Arial" w:hAnsi="Arial"/>
          <w:sz w:val="22"/>
          <w:szCs w:val="22"/>
        </w:rPr>
        <w:t xml:space="preserve">Los principales mecanismos de encolamiento son: FIFO (First In, First Out), sin discriminación de tráfico y susceptible al fenómeno de tail drop; PQ (Priority Queuing), que atiende colas de mayor prioridad de forma absoluta, con riesgo de inanición (starvation) del tráfico de menor prioridad; CBWFQ (Class-Based Weighted Fair Queuing), que garantiza un ancho de banda mínimo por clase de tráfico definida por el administrador; y LLQ (Low Latency Queuing), considerado el estándar de oro en entornos convergentes, que añade una cola de prioridad estricta al modelo CBWFQ para el tráfico multimedia sensible al retardo.</w:t>
      </w:r>
    </w:p>
    <w:p>
      <w:pPr>
        <w:pStyle w:val="Heading2"/>
        <w:spacing w:after="80" w:before="160"/>
      </w:pPr>
      <w:r>
        <w:rPr>
          <w:rFonts w:ascii="Arial" w:cs="Arial" w:eastAsia="Arial" w:hAnsi="Arial"/>
          <w:b/>
          <w:bCs/>
        </w:rPr>
        <w:t xml:space="preserve">6.3. Modelos QoS en MPLS (RFC 3270)</w:t>
      </w:r>
    </w:p>
    <w:p>
      <w:pPr>
        <w:spacing w:after="100" w:before="60"/>
        <w:jc w:val="both"/>
      </w:pPr>
      <w:r>
        <w:rPr>
          <w:rFonts w:ascii="Arial" w:cs="Arial" w:eastAsia="Arial" w:hAnsi="Arial"/>
          <w:sz w:val="22"/>
          <w:szCs w:val="22"/>
        </w:rPr>
        <w:t xml:space="preserve">En entornos MPLS, la RFC 3270 define dos modelos de transporte de información de QoS. En el modelo E-LSP (EXP-Inferred LSP), un único LSP transporta hasta 8 clases de servicio inferidas de los 3 bits EXP de la cabecera shim. En el modelo L-LSP (Label-Inferred LSP), la clase de servicio se infiere de la propia etiqueta MPLS, requiriendo LSPs separados por clase. Respecto al tratamiento de los bits DSCP al atravesar el dominio MPLS, existen tres modelos de túnel: Uniform, en el que los cambios de marcado aplicados en el núcleo se reflejan en el DSCP del cliente al salir; Pipe, en el que el marcado del núcleo es opaco para el cliente, que mantiene su DSCP original intacto; y Short Pipe, similar al anterior pero donde el dispositivo de salida aplica el tratamiento basándose en el DSCP original del cliente.</w:t>
      </w:r>
    </w:p>
    <w:p>
      <w:pPr>
        <w:pStyle w:val="Heading1"/>
        <w:spacing w:after="120" w:before="200"/>
      </w:pPr>
      <w:r>
        <w:rPr>
          <w:rFonts w:ascii="Arial" w:cs="Arial" w:eastAsia="Arial" w:hAnsi="Arial"/>
          <w:b/>
          <w:bCs/>
        </w:rPr>
        <w:t xml:space="preserve">7. RESUMEN DE CLAVES PARA EL EXAMEN</w:t>
      </w:r>
    </w:p>
    <w:p>
      <w:pPr>
        <w:spacing w:after="100" w:before="60"/>
        <w:jc w:val="both"/>
      </w:pPr>
      <w:r>
        <w:rPr>
          <w:rFonts w:ascii="Arial" w:cs="Arial" w:eastAsia="Arial" w:hAnsi="Arial"/>
          <w:sz w:val="22"/>
          <w:szCs w:val="22"/>
        </w:rPr>
        <w:t xml:space="preserve">A continuación se recogen los datos de memorización crítica para el examen:</w:t>
      </w:r>
    </w:p>
    <w:p>
      <w:pPr>
        <w:spacing w:after="100" w:before="60"/>
        <w:jc w:val="both"/>
      </w:pPr>
      <w:r>
        <w:rPr>
          <w:rFonts w:ascii="Arial" w:cs="Arial" w:eastAsia="Arial" w:hAnsi="Arial"/>
          <w:b/>
          <w:bCs/>
          <w:sz w:val="22"/>
          <w:szCs w:val="22"/>
        </w:rPr>
        <w:t xml:space="preserve">Límites de calidad VoIP: </w:t>
      </w:r>
      <w:r>
        <w:rPr>
          <w:rFonts w:ascii="Arial" w:cs="Arial" w:eastAsia="Arial" w:hAnsi="Arial"/>
          <w:b w:val="false"/>
          <w:bCs w:val="false"/>
          <w:sz w:val="22"/>
          <w:szCs w:val="22"/>
        </w:rPr>
        <w:t xml:space="preserve">latencia &lt; 150 ms, jitter &lt; 30 ms, pérdida de paquetes &lt; 1%.</w:t>
      </w:r>
    </w:p>
    <w:p>
      <w:pPr>
        <w:spacing w:after="100" w:before="60"/>
        <w:jc w:val="both"/>
      </w:pPr>
      <w:r>
        <w:rPr>
          <w:rFonts w:ascii="Arial" w:cs="Arial" w:eastAsia="Arial" w:hAnsi="Arial"/>
          <w:b/>
          <w:bCs/>
          <w:sz w:val="22"/>
          <w:szCs w:val="22"/>
        </w:rPr>
        <w:t xml:space="preserve">Protocolos IP: </w:t>
      </w:r>
      <w:r>
        <w:rPr>
          <w:rFonts w:ascii="Arial" w:cs="Arial" w:eastAsia="Arial" w:hAnsi="Arial"/>
          <w:b w:val="false"/>
          <w:bCs w:val="false"/>
          <w:sz w:val="22"/>
          <w:szCs w:val="22"/>
        </w:rPr>
        <w:t xml:space="preserve">OSPF utiliza el número de protocolo IP 89; EIGRP utiliza el número de protocolo IP 88.</w:t>
      </w:r>
    </w:p>
    <w:p>
      <w:pPr>
        <w:spacing w:after="100" w:before="60"/>
        <w:jc w:val="both"/>
      </w:pPr>
      <w:r>
        <w:rPr>
          <w:rFonts w:ascii="Arial" w:cs="Arial" w:eastAsia="Arial" w:hAnsi="Arial"/>
          <w:b/>
          <w:bCs/>
          <w:sz w:val="22"/>
          <w:szCs w:val="22"/>
        </w:rPr>
        <w:t xml:space="preserve">BGP: </w:t>
      </w:r>
      <w:r>
        <w:rPr>
          <w:rFonts w:ascii="Arial" w:cs="Arial" w:eastAsia="Arial" w:hAnsi="Arial"/>
          <w:b w:val="false"/>
          <w:bCs w:val="false"/>
          <w:sz w:val="22"/>
          <w:szCs w:val="22"/>
        </w:rPr>
        <w:t xml:space="preserve">establece sesiones sobre TCP puerto 179. Mensajes identificados con el mnemónico OUKN (Open, Update, Keepalive, Notification).</w:t>
      </w:r>
    </w:p>
    <w:p>
      <w:pPr>
        <w:spacing w:after="100" w:before="60"/>
        <w:jc w:val="both"/>
      </w:pPr>
      <w:r>
        <w:rPr>
          <w:rFonts w:ascii="Arial" w:cs="Arial" w:eastAsia="Arial" w:hAnsi="Arial"/>
          <w:b/>
          <w:bCs/>
          <w:sz w:val="22"/>
          <w:szCs w:val="22"/>
        </w:rPr>
        <w:t xml:space="preserve">Cabecera MPLS shim: </w:t>
      </w:r>
      <w:r>
        <w:rPr>
          <w:rFonts w:ascii="Arial" w:cs="Arial" w:eastAsia="Arial" w:hAnsi="Arial"/>
          <w:b w:val="false"/>
          <w:bCs w:val="false"/>
          <w:sz w:val="22"/>
          <w:szCs w:val="22"/>
        </w:rPr>
        <w:t xml:space="preserve">32 bits totales distribuidos en: Etiqueta (20 bits), EXP (3 bits), S o Bottom of Stack (1 bit) y TTL (8 bits).</w:t>
      </w:r>
    </w:p>
    <w:p>
      <w:pPr>
        <w:spacing w:after="100" w:before="60"/>
        <w:jc w:val="both"/>
      </w:pPr>
      <w:r>
        <w:rPr>
          <w:rFonts w:ascii="Arial" w:cs="Arial" w:eastAsia="Arial" w:hAnsi="Arial"/>
          <w:b/>
          <w:bCs/>
          <w:sz w:val="22"/>
          <w:szCs w:val="22"/>
        </w:rPr>
        <w:t xml:space="preserve">Costes STP: </w:t>
      </w:r>
      <w:r>
        <w:rPr>
          <w:rFonts w:ascii="Arial" w:cs="Arial" w:eastAsia="Arial" w:hAnsi="Arial"/>
          <w:b w:val="false"/>
          <w:bCs w:val="false"/>
          <w:sz w:val="22"/>
          <w:szCs w:val="22"/>
        </w:rPr>
        <w:t xml:space="preserve">10 Mbps = 100; 100 Mbps = 19; 1 Gbps = 4; 10 Gbps = 2.</w:t>
      </w:r>
    </w:p>
    <w:p>
      <w:pPr>
        <w:spacing w:after="100" w:before="60"/>
        <w:jc w:val="both"/>
      </w:pPr>
      <w:r>
        <w:rPr>
          <w:rFonts w:ascii="Arial" w:cs="Arial" w:eastAsia="Arial" w:hAnsi="Arial"/>
          <w:b/>
          <w:bCs/>
          <w:sz w:val="22"/>
          <w:szCs w:val="22"/>
        </w:rPr>
        <w:t xml:space="preserve">Estándares STP: </w:t>
      </w:r>
      <w:r>
        <w:rPr>
          <w:rFonts w:ascii="Arial" w:cs="Arial" w:eastAsia="Arial" w:hAnsi="Arial"/>
          <w:b w:val="false"/>
          <w:bCs w:val="false"/>
          <w:sz w:val="22"/>
          <w:szCs w:val="22"/>
        </w:rPr>
        <w:t xml:space="preserve">IEEE 802.1D (STP original), IEEE 802.1w (RSTP, convergencia rápida), IEEE 802.1s (MSTP, múltiples instancias).</w:t>
      </w:r>
    </w:p>
    <w:p>
      <w:pPr>
        <w:spacing w:after="100" w:before="60"/>
        <w:jc w:val="both"/>
      </w:pPr>
      <w:r>
        <w:rPr>
          <w:rFonts w:ascii="Arial" w:cs="Arial" w:eastAsia="Arial" w:hAnsi="Arial"/>
          <w:b/>
          <w:bCs/>
          <w:sz w:val="22"/>
          <w:szCs w:val="22"/>
        </w:rPr>
        <w:t xml:space="preserve">Marcado de voz: </w:t>
      </w:r>
      <w:r>
        <w:rPr>
          <w:rFonts w:ascii="Arial" w:cs="Arial" w:eastAsia="Arial" w:hAnsi="Arial"/>
          <w:b w:val="false"/>
          <w:bCs w:val="false"/>
          <w:sz w:val="22"/>
          <w:szCs w:val="22"/>
        </w:rPr>
        <w:t xml:space="preserve">DSCP EF, valor decimal 46, es el requisito obligatorio para el tráfico de voz en arquitecturas convergentes.</w:t>
      </w:r>
    </w:p>
    <w:p>
      <w:pPr>
        <w:spacing w:after="100" w:before="60"/>
        <w:jc w:val="both"/>
      </w:pPr>
      <w:r>
        <w:rPr>
          <w:rFonts w:ascii="Arial" w:cs="Arial" w:eastAsia="Arial" w:hAnsi="Arial"/>
          <w:b/>
          <w:bCs/>
          <w:sz w:val="22"/>
          <w:szCs w:val="22"/>
        </w:rPr>
        <w:t xml:space="preserve">VLANs: </w:t>
      </w:r>
      <w:r>
        <w:rPr>
          <w:rFonts w:ascii="Arial" w:cs="Arial" w:eastAsia="Arial" w:hAnsi="Arial"/>
          <w:b w:val="false"/>
          <w:bCs w:val="false"/>
          <w:sz w:val="22"/>
          <w:szCs w:val="22"/>
        </w:rPr>
        <w:t xml:space="preserve">IEEE 802.1Q; campo de 12 bits; rangos normales 1-1005, extendidos 1006-4094.</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0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5F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2026-06-02T17:11:47.569Z</dcterms:created>
  <dcterms:modified xsi:type="dcterms:W3CDTF">2026-06-02T17:11:47.570Z</dcterms:modified>
</cp:coreProperties>
</file>

<file path=docProps/custom.xml><?xml version="1.0" encoding="utf-8"?>
<Properties xmlns="http://schemas.openxmlformats.org/officeDocument/2006/custom-properties" xmlns:vt="http://schemas.openxmlformats.org/officeDocument/2006/docPropsVTypes"/>
</file>