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bottom w:val="single" w:color="1F3864" w:sz="6" w:space="1"/>
        </w:pBdr>
        <w:spacing w:after="100" w:before="0"/>
        <w:jc w:val="center"/>
      </w:pPr>
      <w:r>
        <w:rPr>
          <w:rFonts w:ascii="Arial" w:cs="Arial" w:eastAsia="Arial" w:hAnsi="Arial"/>
          <w:b/>
          <w:bCs/>
          <w:color w:val="1F3864"/>
          <w:sz w:val="28"/>
          <w:szCs w:val="28"/>
        </w:rPr>
        <w:t xml:space="preserve">TEMA 66</w:t>
      </w:r>
    </w:p>
    <w:p>
      <w:pPr>
        <w:spacing w:after="280" w:before="100"/>
        <w:jc w:val="center"/>
      </w:pPr>
      <w:r>
        <w:rPr>
          <w:rFonts w:ascii="Arial" w:cs="Arial" w:eastAsia="Arial" w:hAnsi="Arial"/>
          <w:b/>
          <w:bCs/>
          <w:color w:val="2E5FA3"/>
          <w:sz w:val="23"/>
          <w:szCs w:val="23"/>
        </w:rPr>
        <w:t xml:space="preserve">La seguridad en redes: control de accesos. Técnicas criptográficas. Mecanismos de firma digital. Intrusiones. Cortafuegos. Redes privadas virtuales. Seguridad en el puesto del usuario.</w:t>
      </w:r>
    </w:p>
    <w:p>
      <w:pPr>
        <w:pStyle w:val="Heading1"/>
        <w:spacing w:after="140" w:before="300"/>
      </w:pPr>
      <w:r>
        <w:rPr>
          <w:rFonts w:ascii="Arial" w:cs="Arial" w:eastAsia="Arial" w:hAnsi="Arial"/>
          <w:b/>
          <w:bCs/>
          <w:color w:val="1F3864"/>
          <w:sz w:val="28"/>
          <w:szCs w:val="28"/>
        </w:rPr>
        <w:t xml:space="preserve">1. Introducción</w:t>
      </w:r>
    </w:p>
    <w:p>
      <w:pPr>
        <w:spacing w:after="80" w:before="80" w:line="276"/>
        <w:jc w:val="both"/>
      </w:pPr>
      <w:r>
        <w:rPr>
          <w:rFonts w:ascii="Arial" w:cs="Arial" w:eastAsia="Arial" w:hAnsi="Arial"/>
          <w:sz w:val="22"/>
          <w:szCs w:val="22"/>
        </w:rPr>
        <w:t xml:space="preserve">La seguridad en redes constituye uno de los pilares fundamentales de la sociedad digital contemporánea. En un entorno donde la información circula de forma continua a través de infraestructuras distribuidas y heterogéneas, proteger la confidencialidad, la integridad y la disponibilidad de los datos se ha convertido en una necesidad estratégica tanto para las administraciones públicas como para las organizaciones privadas. La aproximación moderna a la seguridad abandona la idea de una defensa perimetral estática para adoptar el concepto de defensa en profundidad, una estrategia que combina múltiples capas de protección —desde el control de accesos y la criptografía hasta la seguridad del puesto de trabajo— de forma que el fallo de un mecanismo no comprometa la totalidad del sistema. En España, el marco normativo de referencia es el Esquema Nacional de Seguridad (ENS), regulado por el Real Decreto 311/2022, que establece los principios y requisitos mínimos de seguridad exigibles a los sistemas de información de las Administraciones Públicas.</w:t>
      </w:r>
    </w:p>
    <w:p>
      <w:pPr>
        <w:pStyle w:val="Heading1"/>
        <w:spacing w:after="140" w:before="300"/>
      </w:pPr>
      <w:r>
        <w:rPr>
          <w:rFonts w:ascii="Arial" w:cs="Arial" w:eastAsia="Arial" w:hAnsi="Arial"/>
          <w:b/>
          <w:bCs/>
          <w:color w:val="1F3864"/>
          <w:sz w:val="28"/>
          <w:szCs w:val="28"/>
        </w:rPr>
        <w:t xml:space="preserve">2. Control de Acceso</w:t>
      </w:r>
    </w:p>
    <w:p>
      <w:pPr>
        <w:spacing w:after="80" w:before="80" w:line="276"/>
        <w:jc w:val="both"/>
      </w:pPr>
      <w:r>
        <w:rPr>
          <w:rFonts w:ascii="Arial" w:cs="Arial" w:eastAsia="Arial" w:hAnsi="Arial"/>
          <w:sz w:val="22"/>
          <w:szCs w:val="22"/>
        </w:rPr>
        <w:t xml:space="preserve">El control de acceso es el conjunto de mecanismos que determinan qué sujetos pueden acceder a qué recursos y bajo qué condiciones. Su correcta implementación reduce la superficie de ataque de una organización y es el primer eslabón de cualquier arquitectura de seguridad robusta. Existen varios modelos formales de control de acceso, cada uno adecuado a diferentes contextos organizativos.</w:t>
      </w:r>
    </w:p>
    <w:p>
      <w:pPr>
        <w:spacing w:after="80" w:before="80" w:line="276"/>
        <w:jc w:val="both"/>
      </w:pPr>
      <w:r>
        <w:rPr>
          <w:rFonts w:ascii="Arial" w:cs="Arial" w:eastAsia="Arial" w:hAnsi="Arial"/>
          <w:sz w:val="22"/>
          <w:szCs w:val="22"/>
        </w:rPr>
        <w:t xml:space="preserve">El modelo discrecional o DAC (Discretionary Access Control) otorga al propietario del recurso la potestad de decidir quién puede acceder a él. Ofrece gran flexibilidad, pero genera una gobernanza débil y difícilmente auditable. El modelo obligatorio o MAC (Mandatory Access Control) se basa en una política central que asigna etiquetas de clasificación a sujetos y objetos; es el modelo empleado en entornos de alta seguridad, como los sistemas militares o de inteligencia, donde la consistencia prima sobre la flexibilidad. El modelo basado en roles o RBAC (Role-Based Access Control) agrupa los permisos por funciones organizativas y los asigna a los usuarios según su rol, lo que simplifica la administración en entornos estables, aunque puede verse desbordado por la proliferación excesiva de roles ante situaciones de excepción.</w:t>
      </w:r>
    </w:p>
    <w:p>
      <w:pPr>
        <w:spacing w:after="80" w:before="80" w:line="276"/>
        <w:jc w:val="both"/>
      </w:pPr>
      <w:r>
        <w:rPr>
          <w:rFonts w:ascii="Arial" w:cs="Arial" w:eastAsia="Arial" w:hAnsi="Arial"/>
          <w:sz w:val="22"/>
          <w:szCs w:val="22"/>
        </w:rPr>
        <w:t xml:space="preserve">Las necesidades de los entornos digitales actuales han impulsado modelos más dinámicos. El control de acceso basado en atributos o ABAC (Attribute-Based Access Control) toma decisiones en función de múltiples atributos del sujeto, el objeto y el contexto, como la ubicación, el dispositivo utilizado o la hora del acceso, lo que permite una microsegmentación muy precisa aunque a costa de una mayor complejidad de diseño. El modelo basado en relaciones o ReBAC (Relationship-Based Access Control) resulta especialmente adecuado para entornos colaborativos y plataformas SaaS, al evaluar el vínculo entre el sujeto y el recurso. Es importante advertir que la eficacia de estos modelos dinámicos depende de la veracidad de los atributos suministrados por el Proveedor de Identidad (IdP): si los datos de identidad no son fiables, el modelo de autorización más sofisticado resultará ineficaz.</w:t>
      </w:r>
    </w:p>
    <w:p>
      <w:pPr>
        <w:pStyle w:val="Heading1"/>
        <w:spacing w:after="140" w:before="300"/>
      </w:pPr>
      <w:r>
        <w:rPr>
          <w:rFonts w:ascii="Arial" w:cs="Arial" w:eastAsia="Arial" w:hAnsi="Arial"/>
          <w:b/>
          <w:bCs/>
          <w:color w:val="1F3864"/>
          <w:sz w:val="28"/>
          <w:szCs w:val="28"/>
        </w:rPr>
        <w:t xml:space="preserve">3. Técnicas Criptográficas</w:t>
      </w:r>
    </w:p>
    <w:p>
      <w:pPr>
        <w:spacing w:after="80" w:before="80" w:line="276"/>
        <w:jc w:val="both"/>
      </w:pPr>
      <w:r>
        <w:rPr>
          <w:rFonts w:ascii="Arial" w:cs="Arial" w:eastAsia="Arial" w:hAnsi="Arial"/>
          <w:sz w:val="22"/>
          <w:szCs w:val="22"/>
        </w:rPr>
        <w:t xml:space="preserve">La criptografía es la disciplina que proporciona los mecanismos técnicos para garantizar la confidencialidad, la integridad y la autenticidad de la información. Desde el punto de vista de la seguridad en redes, los dos grandes paradigmas son la criptografía simétrica y la criptografía asimétrica o de clave pública.</w:t>
      </w:r>
    </w:p>
    <w:p>
      <w:pPr>
        <w:spacing w:after="80" w:before="80" w:line="276"/>
        <w:jc w:val="both"/>
      </w:pPr>
      <w:r>
        <w:rPr>
          <w:rFonts w:ascii="Arial" w:cs="Arial" w:eastAsia="Arial" w:hAnsi="Arial"/>
          <w:sz w:val="22"/>
          <w:szCs w:val="22"/>
        </w:rPr>
        <w:t xml:space="preserve">En la criptografía simétrica, el emisor y el receptor comparten una única clave secreta tanto para el cifrado como para el descifrado. Su principal ventaja es la eficiencia computacional, lo que la hace adecuada para cifrar grandes volúmenes de datos. Algoritmos como AES (Advanced Encryption Standard) con claves de 256 bits son el estándar de facto para este tipo de operaciones. Su limitación fundamental es el problema de la distribución segura de la clave compartida.</w:t>
      </w:r>
    </w:p>
    <w:p>
      <w:pPr>
        <w:spacing w:after="80" w:before="80" w:line="276"/>
        <w:jc w:val="both"/>
      </w:pPr>
      <w:r>
        <w:rPr>
          <w:rFonts w:ascii="Arial" w:cs="Arial" w:eastAsia="Arial" w:hAnsi="Arial"/>
          <w:sz w:val="22"/>
          <w:szCs w:val="22"/>
        </w:rPr>
        <w:t xml:space="preserve">La criptografía asimétrica o de clave pública resuelve este problema mediante el uso de un par de claves matemáticamente relacionadas: una clave pública, que puede distribuirse libremente, y una clave privada, que el titular debe mantener en secreto. Lo que se cifra con una clave solo puede descifrarse con la otra. RSA es el algoritmo asimétrico más extendido; sin embargo, el Centro Criptológico Nacional (CCN), en su guía CCN-STIC 807, advierte que RSA con claves de 2048 bits ha quedado clasificado como algoritmo heredado (legacy) con validez hasta el 31 de diciembre de 2025, por lo que los nuevos despliegues deben migrar a RSA de 3072 o 4096 bits, o bien a criptografía de curva elíptica (ECC) con curvas como NIST P-256 o P-384, que ofrecen un nivel de seguridad equivalente con claves de menor tamaño y mejor rendimiento. En la práctica, los sistemas modernos emplean un esquema híbrido: la criptografía asimétrica se utiliza para el intercambio seguro de la clave de sesión, y la criptografía simétrica se aplica al cifrado del tráfico.</w:t>
      </w:r>
    </w:p>
    <w:p>
      <w:pPr>
        <w:pStyle w:val="Heading1"/>
        <w:spacing w:after="140" w:before="300"/>
      </w:pPr>
      <w:r>
        <w:rPr>
          <w:rFonts w:ascii="Arial" w:cs="Arial" w:eastAsia="Arial" w:hAnsi="Arial"/>
          <w:b/>
          <w:bCs/>
          <w:color w:val="1F3864"/>
          <w:sz w:val="28"/>
          <w:szCs w:val="28"/>
        </w:rPr>
        <w:t xml:space="preserve">4. Mecanismos de Firma Digital</w:t>
      </w:r>
    </w:p>
    <w:p>
      <w:pPr>
        <w:spacing w:after="80" w:before="80" w:line="276"/>
        <w:jc w:val="both"/>
      </w:pPr>
      <w:r>
        <w:rPr>
          <w:rFonts w:ascii="Arial" w:cs="Arial" w:eastAsia="Arial" w:hAnsi="Arial"/>
          <w:sz w:val="22"/>
          <w:szCs w:val="22"/>
        </w:rPr>
        <w:t xml:space="preserve">La firma digital es la aplicación de la criptografía asimétrica para proporcionar autenticación, integridad y no repudio. El proceso consiste en generar un resumen criptográfico o hash del documento mediante una función como SHA-256, y cifrar dicho resumen con la clave privada del firmante. El receptor puede verificar la firma descifrando el resumen con la clave pública del firmante y comprobando que coincide con el hash que él mismo calcula sobre el documento recibido. Si ambos valores coinciden, queda garantizado que el documento no ha sido alterado y que fue firmado por el titular de esa clave privada.</w:t>
      </w:r>
    </w:p>
    <w:p>
      <w:pPr>
        <w:spacing w:after="80" w:before="80" w:line="276"/>
        <w:jc w:val="both"/>
      </w:pPr>
      <w:r>
        <w:rPr>
          <w:rFonts w:ascii="Arial" w:cs="Arial" w:eastAsia="Arial" w:hAnsi="Arial"/>
          <w:sz w:val="22"/>
          <w:szCs w:val="22"/>
        </w:rPr>
        <w:t xml:space="preserve">La infraestructura de clave pública o PKI (Public Key Infrastructure) es el conjunto de políticas, procedimientos y tecnologías que gestionan el ciclo de vida de los certificados digitales, vinculando una clave pública a la identidad de su titular. El estándar de certificado digital vigente es X.509 versión 3, cuyos campos esenciales incluyen el número de serie asignado por la Autoridad de Certificación (CA), la identidad del emisor y del titular, el período de validez, la clave pública del sujeto, el algoritmo de firma empleado por la CA y las extensiones de la versión 3, que permiten especificar el uso de la clave y las restricciones básicas. La validez de un certificado puede verificarse mediante los protocolos CRL (Certificate Revocation List) u OCSP (Online Certificate Status Protocol).</w:t>
      </w:r>
    </w:p>
    <w:p>
      <w:pPr>
        <w:spacing w:after="80" w:before="80" w:line="276"/>
        <w:jc w:val="both"/>
      </w:pPr>
      <w:r>
        <w:rPr>
          <w:rFonts w:ascii="Arial" w:cs="Arial" w:eastAsia="Arial" w:hAnsi="Arial"/>
          <w:sz w:val="22"/>
          <w:szCs w:val="22"/>
        </w:rPr>
        <w:t xml:space="preserve">En el ámbito legal europeo, el Reglamento eIDAS establece tres niveles de firma electrónica. La firma electrónica simple no impone requisitos técnicos específicos. La firma electrónica avanzada (AdES) debe estar vinculada de forma única al firmante, permitir su identificación, haber sido creada bajo su control exclusivo y detectar cualquier modificación posterior del documento firmado. La firma electrónica cualificada (QES) añade el requisito de utilizar un Dispositivo Cualificado de Creación de Firma (QSCD) y un certificado cualificado emitido por un prestador de confianza; tiene plena equivalencia legal con la firma manuscrita en todos los Estados miembros de la Unión Europea.</w:t>
      </w:r>
    </w:p>
    <w:p>
      <w:pPr>
        <w:pStyle w:val="Heading1"/>
        <w:spacing w:after="140" w:before="300"/>
      </w:pPr>
      <w:r>
        <w:rPr>
          <w:rFonts w:ascii="Arial" w:cs="Arial" w:eastAsia="Arial" w:hAnsi="Arial"/>
          <w:b/>
          <w:bCs/>
          <w:color w:val="1F3864"/>
          <w:sz w:val="28"/>
          <w:szCs w:val="28"/>
        </w:rPr>
        <w:t xml:space="preserve">5. Intrusiones y Detección</w:t>
      </w:r>
    </w:p>
    <w:p>
      <w:pPr>
        <w:spacing w:after="80" w:before="80" w:line="276"/>
        <w:jc w:val="both"/>
      </w:pPr>
      <w:r>
        <w:rPr>
          <w:rFonts w:ascii="Arial" w:cs="Arial" w:eastAsia="Arial" w:hAnsi="Arial"/>
          <w:sz w:val="22"/>
          <w:szCs w:val="22"/>
        </w:rPr>
        <w:t xml:space="preserve">Una intrusión es todo acceso o actividad no autorizada en un sistema o red. Las amenazas pueden originarse en el exterior —a través de exploits, ataques de fuerza bruta, phishing o ingeniería social— o en el interior, mediante abusos de privilegio o compromisos de cuentas legítimas. Para detectarlas, se despliegan sistemas IDS (Intrusion Detection Systems), que monitorizan el tráfico y los eventos del sistema en busca de patrones anómalos, e IPS (Intrusion Prevention Systems), que además de detectar son capaces de bloquear el tráfico malicioso de forma automática. Ambos sistemas pueden operar en modo basado en firmas, comparando el tráfico con patrones conocidos de ataques, o en modo basado en anomalías, estableciendo una línea base de comportamiento normal y alertando sobre desviaciones significativas.</w:t>
      </w:r>
    </w:p>
    <w:p>
      <w:pPr>
        <w:spacing w:after="80" w:before="80" w:line="276"/>
        <w:jc w:val="both"/>
      </w:pPr>
      <w:r>
        <w:rPr>
          <w:rFonts w:ascii="Arial" w:cs="Arial" w:eastAsia="Arial" w:hAnsi="Arial"/>
          <w:sz w:val="22"/>
          <w:szCs w:val="22"/>
        </w:rPr>
        <w:t xml:space="preserve">La gestión de incidentes de seguridad se rige en España por las directrices del ENS (art. 33 del RD 311/2022) y la Guía CCN-STIC 817, que establece las fases del proceso: preparación, mediante la constitución de equipos CSIRT y el despliegue de herramientas de monitorización; detección y clasificación de la anomalía según su impacto y criticidad; análisis para determinar el alcance y los vectores de ataque; respuesta y mitigación con acciones de contención inmediata como el aislamiento de sistemas o la revocación de credenciales; comunicación a las autoridades competentes; y, finalmente, registro y lecciones aprendidas para prevenir la recurrencia. A nivel institucional, el CCN-CERT coordina la respuesta a incidentes en el sector público y los sistemas de seguridad nacional, mientras que el INCIBE-CERT es el centro de referencia para el sector privado, operadores de servicios esenciales y ciudadanos.</w:t>
      </w:r>
    </w:p>
    <w:p>
      <w:pPr>
        <w:pStyle w:val="Heading1"/>
        <w:spacing w:after="140" w:before="300"/>
      </w:pPr>
      <w:r>
        <w:rPr>
          <w:rFonts w:ascii="Arial" w:cs="Arial" w:eastAsia="Arial" w:hAnsi="Arial"/>
          <w:b/>
          <w:bCs/>
          <w:color w:val="1F3864"/>
          <w:sz w:val="28"/>
          <w:szCs w:val="28"/>
        </w:rPr>
        <w:t xml:space="preserve">6. Cortafuegos y Redes Privadas Virtuales</w:t>
      </w:r>
    </w:p>
    <w:p>
      <w:pPr>
        <w:pStyle w:val="Heading2"/>
        <w:spacing w:after="100" w:before="220"/>
      </w:pPr>
      <w:r>
        <w:rPr>
          <w:rFonts w:ascii="Arial" w:cs="Arial" w:eastAsia="Arial" w:hAnsi="Arial"/>
          <w:b/>
          <w:bCs/>
          <w:color w:val="2E5FA3"/>
          <w:sz w:val="24"/>
          <w:szCs w:val="24"/>
        </w:rPr>
        <w:t xml:space="preserve">6.1. Cortafuegos</w:t>
      </w:r>
    </w:p>
    <w:p>
      <w:pPr>
        <w:spacing w:after="80" w:before="80" w:line="276"/>
        <w:jc w:val="both"/>
      </w:pPr>
      <w:r>
        <w:rPr>
          <w:rFonts w:ascii="Arial" w:cs="Arial" w:eastAsia="Arial" w:hAnsi="Arial"/>
          <w:sz w:val="22"/>
          <w:szCs w:val="22"/>
        </w:rPr>
        <w:t xml:space="preserve">El cortafuegos o firewall es el dispositivo o software que controla el tráfico de red entre zonas de diferente nivel de confianza, permitiendo o denegando el paso en función de un conjunto de reglas. Ha evolucionado significativamente desde los primeros filtros de paquetes, que únicamente analizaban las cabeceras IP y de transporte, hasta los sistemas de inspección con estado o stateful inspection, que mantienen información sobre las conexiones activas y solo permiten el tráfico que forma parte de una sesión legítima. Los cortafuegos proxy operan a nivel de aplicación e inspeccionan el contenido completo de las comunicaciones, ofreciendo mayor granularidad a costa de introducir latencia. Los cortafuegos de nueva generación o NGFW integran además capacidades de prevención de intrusiones (IPS) y control de aplicaciones, permitiendo definir políticas basadas en la aplicación o el usuario y no únicamente en el puerto o protocolo. Los WAF (Web Application Firewalls) son una variante especializada en la protección de aplicaciones web frente a amenazas de la capa de aplicación como la inyección SQL o el cross-site scripting (XSS). La política fundamental de cualquier cortafuegos debe seguir el principio de denegación por defecto: todo tráfico que no esté expresamente permitido debe ser bloqueado.</w:t>
      </w:r>
    </w:p>
    <w:p>
      <w:pPr>
        <w:pStyle w:val="Heading2"/>
        <w:spacing w:after="100" w:before="220"/>
      </w:pPr>
      <w:r>
        <w:rPr>
          <w:rFonts w:ascii="Arial" w:cs="Arial" w:eastAsia="Arial" w:hAnsi="Arial"/>
          <w:b/>
          <w:bCs/>
          <w:color w:val="2E5FA3"/>
          <w:sz w:val="24"/>
          <w:szCs w:val="24"/>
        </w:rPr>
        <w:t xml:space="preserve">6.2. Redes Privadas Virtuales (VPN)</w:t>
      </w:r>
    </w:p>
    <w:p>
      <w:pPr>
        <w:spacing w:after="80" w:before="80" w:line="276"/>
        <w:jc w:val="both"/>
      </w:pPr>
      <w:r>
        <w:rPr>
          <w:rFonts w:ascii="Arial" w:cs="Arial" w:eastAsia="Arial" w:hAnsi="Arial"/>
          <w:sz w:val="22"/>
          <w:szCs w:val="22"/>
        </w:rPr>
        <w:t xml:space="preserve">Una Red Privada Virtual o VPN (Virtual Private Network) es una tecnología que crea un túnel cifrado sobre una red pública —generalmente Internet— para permitir la comunicación segura entre dos puntos como si estuvieran conectados en una red privada. Los protocolos más extendidos son IPsec, que opera en la capa de red y puede funcionar en modo transporte o en modo túnel, y OpenVPN, que trabaja sobre TLS en la capa de aplicación y ofrece gran compatibilidad y flexibilidad de despliegue. El protocolo WireGuard ha ganado relevancia en los últimos años por su diseño minimalista, alta velocidad y código base reducido que facilita su auditoría de seguridad. Las VPN son especialmente relevantes en escenarios de teletrabajo y conexión de sedes remotas, y deben integrarse con el cortafuegos para asegurar que solo el tráfico tunelizado y autenticado accede a la red interna.</w:t>
      </w:r>
    </w:p>
    <w:p>
      <w:pPr>
        <w:pStyle w:val="Heading1"/>
        <w:spacing w:after="140" w:before="300"/>
      </w:pPr>
      <w:r>
        <w:rPr>
          <w:rFonts w:ascii="Arial" w:cs="Arial" w:eastAsia="Arial" w:hAnsi="Arial"/>
          <w:b/>
          <w:bCs/>
          <w:color w:val="1F3864"/>
          <w:sz w:val="28"/>
          <w:szCs w:val="28"/>
        </w:rPr>
        <w:t xml:space="preserve">7. Seguridad en el Puesto del Usuario</w:t>
      </w:r>
    </w:p>
    <w:p>
      <w:pPr>
        <w:spacing w:after="80" w:before="80" w:line="276"/>
        <w:jc w:val="both"/>
      </w:pPr>
      <w:r>
        <w:rPr>
          <w:rFonts w:ascii="Arial" w:cs="Arial" w:eastAsia="Arial" w:hAnsi="Arial"/>
          <w:sz w:val="22"/>
          <w:szCs w:val="22"/>
        </w:rPr>
        <w:t xml:space="preserve">En el contexto del teletrabajo y la movilidad, el dispositivo del usuario o endpoint se ha convertido en el nuevo perímetro de seguridad. La protección del puesto de trabajo exige una aproximación integral que combine medidas técnicas de diversa naturaleza.</w:t>
      </w:r>
    </w:p>
    <w:p>
      <w:pPr>
        <w:spacing w:after="80" w:before="80" w:line="276"/>
        <w:jc w:val="both"/>
      </w:pPr>
      <w:r>
        <w:rPr>
          <w:rFonts w:ascii="Arial" w:cs="Arial" w:eastAsia="Arial" w:hAnsi="Arial"/>
          <w:sz w:val="22"/>
          <w:szCs w:val="22"/>
        </w:rPr>
        <w:t xml:space="preserve">Las soluciones antivirus y antimalware basadas en firmas ofrecen protección frente a amenazas conocidas, pero resultan insuficientes ante ataques avanzados. Por ello, las plataformas de detección y respuesta en el endpoint o EDR (Endpoint Detection and Response) monitorizan el comportamiento del sistema en tiempo real para identificar patrones de ataque complejos, como el ransomware o los ataques de movimiento lateral, y facilitar una respuesta ágil ante incidentes. La gestión de parches y actualizaciones es igualmente crítica, puesto que la mayoría de los compromisos exitosos explotan vulnerabilidades conocidas para las que existe un parche disponible pero que no ha sido aplicado.</w:t>
      </w:r>
    </w:p>
    <w:p>
      <w:pPr>
        <w:spacing w:after="80" w:before="80" w:line="276"/>
        <w:jc w:val="both"/>
      </w:pPr>
      <w:r>
        <w:rPr>
          <w:rFonts w:ascii="Arial" w:cs="Arial" w:eastAsia="Arial" w:hAnsi="Arial"/>
          <w:sz w:val="22"/>
          <w:szCs w:val="22"/>
        </w:rPr>
        <w:t xml:space="preserve">El control físico del dispositivo incluye el uso de cifrado de disco completo —con soluciones como BitLocker o VeraCrypt— para proteger los datos en caso de pérdida o robo, así como el bloqueo de puertos USB y medios extraíbles para prevenir la exfiltración de información. El firewall de host proporciona un control granular del tráfico de red generado o recibido por el propio dispositivo. El bastionado o hardening del sistema operativo completa estas medidas mediante la configuración segura del sistema: deshabilitar servicios innecesarios, aplicar el principio de mínimo privilegio en la gestión de usuarios, proteger el gestor de arranque con contraseña, configurar la autenticación SSH con claves criptográficas en lugar de contraseñas, limitar los intentos de autenticación fallidos y centralizar los registros de auditoría en un servidor externo para impedir que un atacante que comprometa el sistema pueda borrar sus huellas. Todas estas medidas son además requisitos de cumplimiento normativo bajo marcos como el RGPD europeo y el propio ENS.</w:t>
      </w:r>
    </w:p>
    <w:p>
      <w:pPr>
        <w:pStyle w:val="Heading1"/>
        <w:spacing w:after="140" w:before="300"/>
      </w:pPr>
      <w:r>
        <w:rPr>
          <w:rFonts w:ascii="Arial" w:cs="Arial" w:eastAsia="Arial" w:hAnsi="Arial"/>
          <w:b/>
          <w:bCs/>
          <w:color w:val="1F3864"/>
          <w:sz w:val="28"/>
          <w:szCs w:val="28"/>
        </w:rPr>
        <w:t xml:space="preserve">8. Conclusión</w:t>
      </w:r>
    </w:p>
    <w:p>
      <w:pPr>
        <w:spacing w:after="80" w:before="80" w:line="276"/>
        <w:jc w:val="both"/>
      </w:pPr>
      <w:r>
        <w:rPr>
          <w:rFonts w:ascii="Arial" w:cs="Arial" w:eastAsia="Arial" w:hAnsi="Arial"/>
          <w:sz w:val="22"/>
          <w:szCs w:val="22"/>
        </w:rPr>
        <w:t xml:space="preserve">La seguridad en redes es una disciplina transversal que no admite soluciones parciales. La defensa en profundidad exige la integración coherente de un control de acceso contextual y bien gobernado, una criptografía actualizada y alineada con las recomendaciones del CCN, mecanismos de firma digital con validez legal reconocida por el reglamento eIDAS, una detección de intrusiones proactiva, un perímetro inteligente basado en cortafuegos de nueva generación y VPN, y una protección rigurosa del puesto de usuario. Ninguno de estos elementos es suficiente por sí solo; su valor reside precisamente en su complementariedad y en la capacidad de la organización para mantenerlos actualizados, monitorizados y alineados con el marco normativo vigente, cuya referencia principal en el ámbito de las Administraciones Públicas españolas es el Esquema Nacional de Seguridad.</w:t>
      </w:r>
    </w:p>
    <w:sectPr>
      <w:pgSz w:w="11906" w:h="16838" w:orient="portrait"/>
      <w:pgMar w:top="1260" w:right="1260" w:bottom="126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40" w:before="300"/>
      <w:outlineLvl w:val="0"/>
    </w:pPr>
    <w:rPr>
      <w:rFonts w:ascii="Arial" w:cs="Arial" w:eastAsia="Arial" w:hAnsi="Arial"/>
      <w:b/>
      <w:bCs/>
      <w:color w:val="1F3864"/>
      <w:sz w:val="28"/>
      <w:szCs w:val="28"/>
    </w:rPr>
  </w:style>
  <w:style w:type="paragraph" w:styleId="Heading2">
    <w:name w:val="Heading 2"/>
    <w:basedOn w:val="Normal"/>
    <w:next w:val="Normal"/>
    <w:qFormat/>
    <w:pPr>
      <w:spacing w:after="100" w:before="220"/>
      <w:outlineLvl w:val="1"/>
    </w:pPr>
    <w:rPr>
      <w:rFonts w:ascii="Arial" w:cs="Arial" w:eastAsia="Arial" w:hAnsi="Arial"/>
      <w:b/>
      <w:bCs/>
      <w:color w:val="2E5FA3"/>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2026-05-31T14:34:36.793Z</dcterms:created>
  <dcterms:modified xsi:type="dcterms:W3CDTF">2026-05-31T14:34:36.805Z</dcterms:modified>
</cp:coreProperties>
</file>

<file path=docProps/custom.xml><?xml version="1.0" encoding="utf-8"?>
<Properties xmlns="http://schemas.openxmlformats.org/officeDocument/2006/custom-properties" xmlns:vt="http://schemas.openxmlformats.org/officeDocument/2006/docPropsVTypes"/>
</file>