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1F3864" w:sz="6" w:space="1"/>
        </w:pBdr>
        <w:spacing w:after="120" w:before="0"/>
        <w:jc w:val="center"/>
      </w:pPr>
      <w:r>
        <w:rPr>
          <w:rFonts w:ascii="Arial" w:cs="Arial" w:eastAsia="Arial" w:hAnsi="Arial"/>
          <w:b/>
          <w:bCs/>
          <w:color w:val="1F3864"/>
          <w:sz w:val="28"/>
          <w:szCs w:val="28"/>
        </w:rPr>
        <w:t xml:space="preserve">TEMA 67</w:t>
      </w:r>
    </w:p>
    <w:p>
      <w:pPr>
        <w:spacing w:after="320" w:before="120"/>
        <w:jc w:val="center"/>
      </w:pPr>
      <w:r>
        <w:rPr>
          <w:rFonts w:ascii="Arial" w:cs="Arial" w:eastAsia="Arial" w:hAnsi="Arial"/>
          <w:b/>
          <w:bCs/>
          <w:color w:val="2E5FA3"/>
          <w:sz w:val="24"/>
          <w:szCs w:val="24"/>
        </w:rPr>
        <w:t xml:space="preserve">La red Internet: arquitectura de red. Principios de funcionamiento. Servicios: evolución, estado actual y perspectivas de futuro. Sensorización, Internet de las Cosas.</w:t>
      </w:r>
    </w:p>
    <w:p>
      <w:pPr>
        <w:pStyle w:val="Heading1"/>
        <w:spacing w:after="160" w:before="320"/>
      </w:pPr>
      <w:r>
        <w:rPr>
          <w:rFonts w:ascii="Arial" w:cs="Arial" w:eastAsia="Arial" w:hAnsi="Arial"/>
          <w:b/>
          <w:bCs/>
          <w:sz w:val="28"/>
          <w:szCs w:val="28"/>
        </w:rPr>
        <w:t xml:space="preserve">1. Introducción</w:t>
      </w:r>
    </w:p>
    <w:p>
      <w:pPr>
        <w:spacing w:after="80" w:before="80" w:line="276"/>
        <w:jc w:val="both"/>
      </w:pPr>
      <w:r>
        <w:rPr>
          <w:rFonts w:ascii="Arial" w:cs="Arial" w:eastAsia="Arial" w:hAnsi="Arial"/>
          <w:sz w:val="22"/>
          <w:szCs w:val="22"/>
        </w:rPr>
        <w:t xml:space="preserve">Internet puede definirse como una red de redes de alcance global, una infraestructura descentralizada que ha trascendido su propósito original para consolidarse como el eje estratégico de la sociedad digital contemporánea. Su naturaleza fundamental reside en la interconexión de sistemas autónomos y heterogéneos bajo estándares comunes, lo que garantiza la resiliencia del flujo informativo frente a fallos en nodos individuales y permite una escalabilidad prácticamente ilimitada. Nacida del proyecto ARPANET en los años sesenta del siglo XX, Internet evolucionó desde una red experimental de carácter militar y académico hasta convertirse en la columna vertebral de las comunicaciones mundiales.</w:t>
      </w:r>
    </w:p>
    <w:p>
      <w:pPr>
        <w:pStyle w:val="Heading1"/>
        <w:spacing w:after="160" w:before="320"/>
      </w:pPr>
      <w:r>
        <w:rPr>
          <w:rFonts w:ascii="Arial" w:cs="Arial" w:eastAsia="Arial" w:hAnsi="Arial"/>
          <w:b/>
          <w:bCs/>
          <w:sz w:val="28"/>
          <w:szCs w:val="28"/>
        </w:rPr>
        <w:t xml:space="preserve">2. Arquitectura de Red y Principios de Funcionamiento</w:t>
      </w:r>
    </w:p>
    <w:p>
      <w:pPr>
        <w:pStyle w:val="Heading2"/>
        <w:spacing w:after="120" w:before="240"/>
      </w:pPr>
      <w:r>
        <w:rPr>
          <w:rFonts w:ascii="Arial" w:cs="Arial" w:eastAsia="Arial" w:hAnsi="Arial"/>
          <w:b/>
          <w:bCs/>
          <w:sz w:val="24"/>
          <w:szCs w:val="24"/>
        </w:rPr>
        <w:t xml:space="preserve">2.1. La Conmutación de Paquetes</w:t>
      </w:r>
    </w:p>
    <w:p>
      <w:pPr>
        <w:spacing w:after="80" w:before="80" w:line="276"/>
        <w:jc w:val="both"/>
      </w:pPr>
      <w:r>
        <w:rPr>
          <w:rFonts w:ascii="Arial" w:cs="Arial" w:eastAsia="Arial" w:hAnsi="Arial"/>
          <w:sz w:val="22"/>
          <w:szCs w:val="22"/>
        </w:rPr>
        <w:t xml:space="preserve">El principio técnico que hace posible Internet es la conmutación de paquetes, paradigma opuesto a la conmutación de circuitos propia de la telefonía clásica. En lugar de reservar un canal dedicado entre origen y destino, este modelo fragmenta los datos en unidades discretas denominadas paquetes, cada uno de los cuales contiene una carga útil o payload y una cabecera con la información de direccionamiento necesaria (direcciones IP de origen y destino, número de secuencia, entre otros campos). Cada paquete es encaminado de forma independiente por los routers a través de la red, aprovechando la técnica de multiplexación estadística para compartir el ancho de banda de los enlaces entre múltiples flujos de datos simultáneos. En el destino, los paquetes son reensamblados en el orden correcto gracias a los números de secuencia incluidos en las cabeceras.</w:t>
      </w:r>
    </w:p>
    <w:p>
      <w:pPr>
        <w:spacing w:after="80" w:before="80" w:line="276"/>
        <w:jc w:val="both"/>
      </w:pPr>
      <w:r>
        <w:rPr>
          <w:rFonts w:ascii="Arial" w:cs="Arial" w:eastAsia="Arial" w:hAnsi="Arial"/>
          <w:sz w:val="22"/>
          <w:szCs w:val="22"/>
        </w:rPr>
        <w:t xml:space="preserve">Frente a la conmutación de circuitos, que garantiza latencia mínima y constante a cambio de reservar recursos de forma exclusiva aunque no haya tráfico útil, la conmutación de paquetes ofrece una eficiencia muy superior al permitir el aprovechamiento del ancho de banda ocioso. Su principal desventaja es la variabilidad del retardo, especialmente bajo condiciones de congestión. Por ello, la conmutación de circuitos sigue siendo pertinente en aplicaciones de tiempo real con requisitos muy estrictos de latencia determinística.</w:t>
      </w:r>
    </w:p>
    <w:p>
      <w:pPr>
        <w:pStyle w:val="Heading2"/>
        <w:spacing w:after="120" w:before="240"/>
      </w:pPr>
      <w:r>
        <w:rPr>
          <w:rFonts w:ascii="Arial" w:cs="Arial" w:eastAsia="Arial" w:hAnsi="Arial"/>
          <w:b/>
          <w:bCs/>
          <w:sz w:val="24"/>
          <w:szCs w:val="24"/>
        </w:rPr>
        <w:t xml:space="preserve">2.2. El Retardo Nodal</w:t>
      </w:r>
    </w:p>
    <w:p>
      <w:pPr>
        <w:spacing w:after="80" w:before="80" w:line="276"/>
        <w:jc w:val="both"/>
      </w:pPr>
      <w:r>
        <w:rPr>
          <w:rFonts w:ascii="Arial" w:cs="Arial" w:eastAsia="Arial" w:hAnsi="Arial"/>
          <w:sz w:val="22"/>
          <w:szCs w:val="22"/>
        </w:rPr>
        <w:t xml:space="preserve">Para analizar el rendimiento de una red de conmutación de paquetes, es fundamental descomponer el retardo nodal en sus cuatro componentes. El retardo de procesamiento es el tiempo que necesita un router para examinar la cabecera del paquete y determinar la interfaz de salida hacia la que debe ser enviado. El retardo de cola es el tiempo de espera en los buffers del router antes de que el paquete pueda ser transmitido; depende directamente de la intensidad de tráfico en el enlace y puede llegar a ser el componente dominante en situaciones de congestión. El retardo de transmisión representa el tiempo necesario para introducir todos los bits del paquete en el enlace, y se calcula dividiendo la longitud del paquete (L) entre la velocidad de transmisión del enlace (R). Por último, el retardo de propagación es el tiempo que tarda una señal en recorrer el medio físico entre dos nodos, determinado por la distancia (d) y la velocidad de propagación del medio (s).</w:t>
      </w:r>
    </w:p>
    <w:p>
      <w:pPr>
        <w:pStyle w:val="Heading2"/>
        <w:spacing w:after="120" w:before="240"/>
      </w:pPr>
      <w:r>
        <w:rPr>
          <w:rFonts w:ascii="Arial" w:cs="Arial" w:eastAsia="Arial" w:hAnsi="Arial"/>
          <w:b/>
          <w:bCs/>
          <w:sz w:val="24"/>
          <w:szCs w:val="24"/>
        </w:rPr>
        <w:t xml:space="preserve">2.3. Estructura Jerárquica de Internet: los ISP y los Puntos de Intercambio</w:t>
      </w:r>
    </w:p>
    <w:p>
      <w:pPr>
        <w:spacing w:after="80" w:before="80" w:line="276"/>
        <w:jc w:val="both"/>
      </w:pPr>
      <w:r>
        <w:rPr>
          <w:rFonts w:ascii="Arial" w:cs="Arial" w:eastAsia="Arial" w:hAnsi="Arial"/>
          <w:sz w:val="22"/>
          <w:szCs w:val="22"/>
        </w:rPr>
        <w:t xml:space="preserve">Internet se organiza en una jerarquía de Proveedores de Servicios de Internet (ISP). En el nivel superior se encuentran los ISP de Nivel 1 o Tier 1, operadores de redes troncales con cobertura global que establecen entre sí acuerdos de interconexión gratuita o peering. Por debajo de ellos se sitúan los ISP de Nivel 2, proveedores regionales que pagan por el tránsito de datos hacia el Nivel 1. Finalmente, los ISP de acceso conectan al usuario final mediante tecnologías como la fibra óptica hasta el hogar (FTTH), el DSL o las redes móviles 4G/5G.</w:t>
      </w:r>
    </w:p>
    <w:p>
      <w:pPr>
        <w:spacing w:after="80" w:before="80" w:line="276"/>
        <w:jc w:val="both"/>
      </w:pPr>
      <w:r>
        <w:rPr>
          <w:rFonts w:ascii="Arial" w:cs="Arial" w:eastAsia="Arial" w:hAnsi="Arial"/>
          <w:sz w:val="22"/>
          <w:szCs w:val="22"/>
        </w:rPr>
        <w:t xml:space="preserve">La eficiencia de este sistema depende en gran medida de los Puntos de Intercambio de Internet (IXP, Internet Exchange Points), instalaciones donde múltiples ISP establecen acuerdos de peering local para intercambiar tráfico sin necesidad de encaminarlo a través de redes troncales internacionales. En España destacan ESpanix (Madrid) y CATNIX (Barcelona). ESpanix gestiona picos de tráfico superiores a 1,40 Tb/s con un promedio cercano a los 980 Gb/s, lo que ilustra el volumen masivo de datos que circula por estas infraestructuras y la importancia estratégica de los nodos neutros para la soberanía digital.</w:t>
      </w:r>
    </w:p>
    <w:p>
      <w:pPr>
        <w:pStyle w:val="Heading1"/>
        <w:spacing w:after="160" w:before="320"/>
      </w:pPr>
      <w:r>
        <w:rPr>
          <w:rFonts w:ascii="Arial" w:cs="Arial" w:eastAsia="Arial" w:hAnsi="Arial"/>
          <w:b/>
          <w:bCs/>
          <w:sz w:val="28"/>
          <w:szCs w:val="28"/>
        </w:rPr>
        <w:t xml:space="preserve">3. Modelos de Referencia y Protocolos Fundamentales</w:t>
      </w:r>
    </w:p>
    <w:p>
      <w:pPr>
        <w:pStyle w:val="Heading2"/>
        <w:spacing w:after="120" w:before="240"/>
      </w:pPr>
      <w:r>
        <w:rPr>
          <w:rFonts w:ascii="Arial" w:cs="Arial" w:eastAsia="Arial" w:hAnsi="Arial"/>
          <w:b/>
          <w:bCs/>
          <w:sz w:val="24"/>
          <w:szCs w:val="24"/>
        </w:rPr>
        <w:t xml:space="preserve">3.1. La Pila de Protocolos TCP/IP</w:t>
      </w:r>
    </w:p>
    <w:p>
      <w:pPr>
        <w:spacing w:after="80" w:before="80" w:line="276"/>
        <w:jc w:val="both"/>
      </w:pPr>
      <w:r>
        <w:rPr>
          <w:rFonts w:ascii="Arial" w:cs="Arial" w:eastAsia="Arial" w:hAnsi="Arial"/>
          <w:sz w:val="22"/>
          <w:szCs w:val="22"/>
        </w:rPr>
        <w:t xml:space="preserve">La arquitectura lógica de Internet se articula en torno al modelo TCP/IP, estructurado en cinco capas funcionales: aplicación, transporte, red, enlace y física. Este modelo rige la operativa real de Internet, mientras que el modelo OSI de siete capas, aunque de gran utilidad pedagógica, tiene un papel principalmente académico, ya que sus capas de presentación y sesión han sido absorbidas en la práctica por la capa de aplicación. Cada capa ofrece servicios a la superior y se apoya en los servicios de la inferior, encapsulando los datos en unidades propias (segmentos, datagramas, tramas) a medida que descienden por la pila en el emisor, y desencapsulándolos al ascender en el receptor.</w:t>
      </w:r>
    </w:p>
    <w:p>
      <w:pPr>
        <w:pStyle w:val="Heading2"/>
        <w:spacing w:after="120" w:before="240"/>
      </w:pPr>
      <w:r>
        <w:rPr>
          <w:rFonts w:ascii="Arial" w:cs="Arial" w:eastAsia="Arial" w:hAnsi="Arial"/>
          <w:b/>
          <w:bCs/>
          <w:sz w:val="24"/>
          <w:szCs w:val="24"/>
        </w:rPr>
        <w:t xml:space="preserve">3.2. Los Protocolos de Transporte: TCP y UDP</w:t>
      </w:r>
    </w:p>
    <w:p>
      <w:pPr>
        <w:spacing w:after="80" w:before="80" w:line="276"/>
        <w:jc w:val="both"/>
      </w:pPr>
      <w:r>
        <w:rPr>
          <w:rFonts w:ascii="Arial" w:cs="Arial" w:eastAsia="Arial" w:hAnsi="Arial"/>
          <w:sz w:val="22"/>
          <w:szCs w:val="22"/>
        </w:rPr>
        <w:t xml:space="preserve">En la capa de transporte coexisten dos protocolos con filosofías opuestas. El Protocolo de Control de Transmisión (TCP) es un protocolo orientado a la conexión que proporciona un servicio de entrega fiable y ordenado de datos. Antes de la transferencia, establece la conexión mediante el mecanismo de acuerdo en tres pasos o three-way handshake (SYN, SYN/ACK, ACK) y la cierra de forma ordenada mediante un intercambio de cuatro mensajes. TCP implementa mecanismos de control de flujo, para evitar que el receptor se sature, y de control de congestión, para adaptar la tasa de envío a las condiciones de la red. Los algoritmos modernos de control de congestión, como Cubic o BBR, buscan maximizar el rendimiento efectivo o throughput. Un parámetro crítico de TCP es el Tamaño Máximo de Segmento (MSS), que se calcula restando las cabeceras de TCP (20 bytes) e IP (20 bytes) al tamaño máximo de la unidad de transferencia del enlace (MTU), con el fin de evitar la fragmentación en la capa de red.</w:t>
      </w:r>
    </w:p>
    <w:p>
      <w:pPr>
        <w:spacing w:after="80" w:before="80" w:line="276"/>
        <w:jc w:val="both"/>
      </w:pPr>
      <w:r>
        <w:rPr>
          <w:rFonts w:ascii="Arial" w:cs="Arial" w:eastAsia="Arial" w:hAnsi="Arial"/>
          <w:sz w:val="22"/>
          <w:szCs w:val="22"/>
        </w:rPr>
        <w:t xml:space="preserve">El Protocolo de Datagramas de Usuario (UDP), por su parte, es un protocolo sin conexión y sin garantías de entrega ni orden. Su escaso overhead, derivado de una cabecera de solo 8 bytes frente a los 20 bytes mínimos de TCP, lo hace idóneo para aplicaciones donde la velocidad prima sobre la fiabilidad, como el streaming de vídeo, la telefonía sobre IP (VoIP), los videojuegos en línea o las consultas DNS, donde la retransmisión de un paquete perdido introduciría una latencia inaceptable. UDP es también la base del protocolo QUIC, desarrollado por Google y estandarizado por el IETF, que implementa sus propios mecanismos de fiabilidad sobre UDP para reducir la latencia de establecimiento de conexión.</w:t>
      </w:r>
    </w:p>
    <w:p>
      <w:pPr>
        <w:pStyle w:val="Heading2"/>
        <w:spacing w:after="120" w:before="240"/>
      </w:pPr>
      <w:r>
        <w:rPr>
          <w:rFonts w:ascii="Arial" w:cs="Arial" w:eastAsia="Arial" w:hAnsi="Arial"/>
          <w:b/>
          <w:bCs/>
          <w:sz w:val="24"/>
          <w:szCs w:val="24"/>
        </w:rPr>
        <w:t xml:space="preserve">3.3. El Sistema de Nombres de Dominio (DNS)</w:t>
      </w:r>
    </w:p>
    <w:p>
      <w:pPr>
        <w:spacing w:after="80" w:before="80" w:line="276"/>
        <w:jc w:val="both"/>
      </w:pPr>
      <w:r>
        <w:rPr>
          <w:rFonts w:ascii="Arial" w:cs="Arial" w:eastAsia="Arial" w:hAnsi="Arial"/>
          <w:sz w:val="22"/>
          <w:szCs w:val="22"/>
        </w:rPr>
        <w:t xml:space="preserve">El Sistema de Nombres de Dominio (DNS) es la infraestructura distribuida y jerárquica que traduce nombres de host legibles para las personas (como www.ejemplo.es) en las direcciones IP numéricas que utilizan los routers para encaminar los paquetes. Se organiza en tres niveles: servidores raíz (que conocen la ubicación de los servidores de dominios de nivel superior), servidores de dominio de nivel superior o TLD (responsables de cada extensión como .es, .com o .org) y servidores autoritativos (que contienen los registros definitivos de un dominio concreto). El DNS opera principalmente sobre UDP por el puerto 53 y distingue entre consultas recursivas, en las que el cliente delega todo el proceso de resolución en su servidor DNS local, e iterativas, en las que el servidor local consulta la jerarquía paso a paso.</w:t>
      </w:r>
    </w:p>
    <w:p>
      <w:pPr>
        <w:pStyle w:val="Heading1"/>
        <w:spacing w:after="160" w:before="320"/>
      </w:pPr>
      <w:r>
        <w:rPr>
          <w:rFonts w:ascii="Arial" w:cs="Arial" w:eastAsia="Arial" w:hAnsi="Arial"/>
          <w:b/>
          <w:bCs/>
          <w:sz w:val="28"/>
          <w:szCs w:val="28"/>
        </w:rPr>
        <w:t xml:space="preserve">4. Servicios de Internet: Evolución, Estado Actual y Perspectivas de Futuro</w:t>
      </w:r>
    </w:p>
    <w:p>
      <w:pPr>
        <w:pStyle w:val="Heading2"/>
        <w:spacing w:after="120" w:before="240"/>
      </w:pPr>
      <w:r>
        <w:rPr>
          <w:rFonts w:ascii="Arial" w:cs="Arial" w:eastAsia="Arial" w:hAnsi="Arial"/>
          <w:b/>
          <w:bCs/>
          <w:sz w:val="24"/>
          <w:szCs w:val="24"/>
        </w:rPr>
        <w:t xml:space="preserve">4.1. De la Web 1.0 a la Web 3.0</w:t>
      </w:r>
    </w:p>
    <w:p>
      <w:pPr>
        <w:spacing w:after="80" w:before="80" w:line="276"/>
        <w:jc w:val="both"/>
      </w:pPr>
      <w:r>
        <w:rPr>
          <w:rFonts w:ascii="Arial" w:cs="Arial" w:eastAsia="Arial" w:hAnsi="Arial"/>
          <w:sz w:val="22"/>
          <w:szCs w:val="22"/>
        </w:rPr>
        <w:t xml:space="preserve">La evolución de la World Wide Web refleja una transformación profunda en la relación entre los usuarios y la información. La Web 1.0 o web de la lectura se caracterizó por páginas estáticas generadas por productores de contenido especializados y consumidas de forma pasiva por los usuarios, sin posibilidad de interacción. La Web 2.0 o web social introdujo el paradigma de la lectura y escritura: plataformas dinámicas como redes sociales, blogs o wikis permitieron a cualquier usuario convertirse en productor de contenido. Sin embargo, este modelo trajo consigo una centralización masiva de los datos en manos de unas pocas grandes plataformas que los monetizan mediante publicidad dirigida, suscitando importantes debates sobre privacidad y soberanía de la información.</w:t>
      </w:r>
    </w:p>
    <w:p>
      <w:pPr>
        <w:spacing w:after="80" w:before="80" w:line="276"/>
        <w:jc w:val="both"/>
      </w:pPr>
      <w:r>
        <w:rPr>
          <w:rFonts w:ascii="Arial" w:cs="Arial" w:eastAsia="Arial" w:hAnsi="Arial"/>
          <w:sz w:val="22"/>
          <w:szCs w:val="22"/>
        </w:rPr>
        <w:t xml:space="preserve">La Web 3.0 o web de la propiedad propone un ecosistema descentralizado sustentado en tecnologías como la cadena de bloques (blockchain) y los contratos inteligentes (smart contracts), que permiten ejecutar acuerdos de forma automática y sin intermediarios. Entre sus tecnologías habilitadoras destacan la Abstracción de Cuentas (Account Abstraction), que simplifica el uso de carteras digitales eliminando la complejidad de las frases semilla; los Identificadores Descentralizados (DIDs), que permiten al usuario controlar su identidad digital sin depender de proveedores centralizados; y las Pruebas de Conocimiento Cero (Zero-Knowledge Proofs), que posibilitan la verificación de información, como la mayoría de edad, sin necesidad de revelar los datos subyacentes, ofreciendo así un nivel de privacidad avanzado.</w:t>
      </w:r>
    </w:p>
    <w:p>
      <w:pPr>
        <w:pStyle w:val="Heading2"/>
        <w:spacing w:after="120" w:before="240"/>
      </w:pPr>
      <w:r>
        <w:rPr>
          <w:rFonts w:ascii="Arial" w:cs="Arial" w:eastAsia="Arial" w:hAnsi="Arial"/>
          <w:b/>
          <w:bCs/>
          <w:sz w:val="24"/>
          <w:szCs w:val="24"/>
        </w:rPr>
        <w:t xml:space="preserve">4.2. Estado Actual y Perspectivas de Futuro</w:t>
      </w:r>
    </w:p>
    <w:p>
      <w:pPr>
        <w:spacing w:after="80" w:before="80" w:line="276"/>
        <w:jc w:val="both"/>
      </w:pPr>
      <w:r>
        <w:rPr>
          <w:rFonts w:ascii="Arial" w:cs="Arial" w:eastAsia="Arial" w:hAnsi="Arial"/>
          <w:sz w:val="22"/>
          <w:szCs w:val="22"/>
        </w:rPr>
        <w:t xml:space="preserve">El estado actual de Internet se caracteriza por una demanda de ancho de banda y baja latencia sin precedentes, impulsada por el vídeo en streaming, la computación en la nube, los videojuegos en línea y el crecimiento del IoT. La transición a IPv6 se presenta como una necesidad imperativa, no solo por el agotamiento del espacio de direcciones de IPv4 (limitado a unos 4.300 millones de direcciones), sino también por las mejoras técnicas que aporta: en IPv6, la fragmentación de paquetes solo puede realizarla el host emisor, eliminando esta carga de los routers intermedios y mejorando el rendimiento del núcleo de la red. Además, IPv6 simplifica las cabeceras y facilita la autoconfiguración de los dispositivos.</w:t>
      </w:r>
    </w:p>
    <w:p>
      <w:pPr>
        <w:spacing w:after="80" w:before="80" w:line="276"/>
        <w:jc w:val="both"/>
      </w:pPr>
      <w:r>
        <w:rPr>
          <w:rFonts w:ascii="Arial" w:cs="Arial" w:eastAsia="Arial" w:hAnsi="Arial"/>
          <w:sz w:val="22"/>
          <w:szCs w:val="22"/>
        </w:rPr>
        <w:t xml:space="preserve">En cuanto a las perspectivas de futuro, la consolidación de las redes 5G y la llegada del 6G abrirán nuevas posibilidades para aplicaciones de baja latencia ultrafiable (URLLC) y comunicaciones masivas entre máquinas (mMTC). La Inteligencia Artificial aplicada a la gestión de redes (AIOps) permitirá la optimización dinámica del encaminamiento y la detección proactiva de anomalías y ataques. Asimismo, la computación cuántica plantea tanto una amenaza a la criptografía actual como una oportunidad para el desarrollo de protocolos de comunicación cuánticamente seguros.</w:t>
      </w:r>
    </w:p>
    <w:p>
      <w:pPr>
        <w:pStyle w:val="Heading1"/>
        <w:spacing w:after="160" w:before="320"/>
      </w:pPr>
      <w:r>
        <w:rPr>
          <w:rFonts w:ascii="Arial" w:cs="Arial" w:eastAsia="Arial" w:hAnsi="Arial"/>
          <w:b/>
          <w:bCs/>
          <w:sz w:val="28"/>
          <w:szCs w:val="28"/>
        </w:rPr>
        <w:t xml:space="preserve">5. Sensorización e Internet de las Cosas (IoT)</w:t>
      </w:r>
    </w:p>
    <w:p>
      <w:pPr>
        <w:pStyle w:val="Heading2"/>
        <w:spacing w:after="120" w:before="240"/>
      </w:pPr>
      <w:r>
        <w:rPr>
          <w:rFonts w:ascii="Arial" w:cs="Arial" w:eastAsia="Arial" w:hAnsi="Arial"/>
          <w:b/>
          <w:bCs/>
          <w:sz w:val="24"/>
          <w:szCs w:val="24"/>
        </w:rPr>
        <w:t xml:space="preserve">5.1. Concepto y Magnitud</w:t>
      </w:r>
    </w:p>
    <w:p>
      <w:pPr>
        <w:spacing w:after="80" w:before="80" w:line="276"/>
        <w:jc w:val="both"/>
      </w:pPr>
      <w:r>
        <w:rPr>
          <w:rFonts w:ascii="Arial" w:cs="Arial" w:eastAsia="Arial" w:hAnsi="Arial"/>
          <w:sz w:val="22"/>
          <w:szCs w:val="22"/>
        </w:rPr>
        <w:t xml:space="preserve">El Internet de las Cosas (IoT, Internet of Things) representa la extensión de la conectividad de Internet al mundo físico, mediante la integración de sensores, actuadores y capacidad de procesamiento en objetos cotidianos e industriales. Su vertiente industrial, el IIoT (Industrial IoT), constituye uno de los pilares de la denominada Industria 4.0. Se estima que para finales de 2025 existen en torno a 18.000 millones de dispositivos IoT conectados a nivel global, una cifra que no deja de crecer impulsada por la reducción de costes del hardware (plataformas como Arduino o Raspberry Pi), la miniaturización de los sensores y la madurez de los protocolos de comunicación inalámbrica de bajo consumo.</w:t>
      </w:r>
    </w:p>
    <w:p>
      <w:pPr>
        <w:pStyle w:val="Heading2"/>
        <w:spacing w:after="120" w:before="240"/>
      </w:pPr>
      <w:r>
        <w:rPr>
          <w:rFonts w:ascii="Arial" w:cs="Arial" w:eastAsia="Arial" w:hAnsi="Arial"/>
          <w:b/>
          <w:bCs/>
          <w:sz w:val="24"/>
          <w:szCs w:val="24"/>
        </w:rPr>
        <w:t xml:space="preserve">5.2. Arquitectura y Protocolos IoT</w:t>
      </w:r>
    </w:p>
    <w:p>
      <w:pPr>
        <w:spacing w:after="80" w:before="80" w:line="276"/>
        <w:jc w:val="both"/>
      </w:pPr>
      <w:r>
        <w:rPr>
          <w:rFonts w:ascii="Arial" w:cs="Arial" w:eastAsia="Arial" w:hAnsi="Arial"/>
          <w:sz w:val="22"/>
          <w:szCs w:val="22"/>
        </w:rPr>
        <w:t xml:space="preserve">Una arquitectura IoT robusta se organiza en capas funcionales. En la base se encuentran los dispositivos físicos: sensores que capturan variables del entorno (temperatura, humedad, presión, localización) y actuadores que ejecutan acciones sobre él. La capa de comunicación traslada los datos desde los dispositivos hasta los sistemas de procesamiento, apoyándose en protocolos ligeros optimizados para entornos con ancho de banda limitado, baja potencia de cómputo y conectividad intermitente. Los Edge Gateways actúan como puentes entre el mundo operacional (OT) y el mundo informático (IT), realizando un primer procesamiento y filtrado local de los datos antes de enviarlos a la nube. Finalmente, las plataformas de procesamiento y la capa de aplicación se encargan del almacenamiento, análisis y visualización de la información.</w:t>
      </w:r>
    </w:p>
    <w:p>
      <w:pPr>
        <w:spacing w:after="80" w:before="80" w:line="276"/>
        <w:jc w:val="both"/>
      </w:pPr>
      <w:r>
        <w:rPr>
          <w:rFonts w:ascii="Arial" w:cs="Arial" w:eastAsia="Arial" w:hAnsi="Arial"/>
          <w:sz w:val="22"/>
          <w:szCs w:val="22"/>
        </w:rPr>
        <w:t xml:space="preserve">Entre los protocolos de mensajería más extendidos en IoT destaca MQTT (Message Queuing Telemetry Transport), basado en el modelo publicador-suscriptor y especialmente optimizado para conexiones con escaso ancho de banda y alta latencia. AMQP (Advanced Message Queuing Protocol) se orienta a entornos que requieren mayor seguridad y fiabilidad en el intercambio de mensajes entre sistemas empresariales. Ambos protocolos utilizan brokers de mensajería como intermediarios que gestionan la distribución de mensajes entre productores y consumidores.</w:t>
      </w:r>
    </w:p>
    <w:p>
      <w:pPr>
        <w:pStyle w:val="Heading2"/>
        <w:spacing w:after="120" w:before="240"/>
      </w:pPr>
      <w:r>
        <w:rPr>
          <w:rFonts w:ascii="Arial" w:cs="Arial" w:eastAsia="Arial" w:hAnsi="Arial"/>
          <w:b/>
          <w:bCs/>
          <w:sz w:val="24"/>
          <w:szCs w:val="24"/>
        </w:rPr>
        <w:t xml:space="preserve">5.3. Edge Computing frente a Cloud Computing</w:t>
      </w:r>
    </w:p>
    <w:p>
      <w:pPr>
        <w:spacing w:after="80" w:before="80" w:line="276"/>
        <w:jc w:val="both"/>
      </w:pPr>
      <w:r>
        <w:rPr>
          <w:rFonts w:ascii="Arial" w:cs="Arial" w:eastAsia="Arial" w:hAnsi="Arial"/>
          <w:sz w:val="22"/>
          <w:szCs w:val="22"/>
        </w:rPr>
        <w:t xml:space="preserve">El procesamiento de los datos generados por los dispositivos IoT puede realizarse en la nube (cloud computing) o en el propio borde de la red, próximo a donde se generan los datos (edge computing). El edge computing se presenta como un pilar esencial de la Industria 4.0 y de las aplicaciones IoT críticas, al ofrecer latencia determinística, fundamental en casos de uso como los vehículos autónomos o la cirugía robótica remota donde cualquier retardo puede tener consecuencias graves. Además, procesar los datos localmente reduce el tráfico hacia la nube, alivia los costes de comunicación y permite garantizar la soberanía del dato, ya que la información sensible puede filtrarse y anonimizarse en el Edge Gateway antes de ser transmitida. Por último, el edge computing dota de resiliencia operativa a los sistemas, que pueden seguir funcionando de forma autónoma incluso ante pérdidas temporales de conectividad con la nube.</w:t>
      </w:r>
    </w:p>
    <w:p>
      <w:pPr>
        <w:pStyle w:val="Heading2"/>
        <w:spacing w:after="120" w:before="240"/>
      </w:pPr>
      <w:r>
        <w:rPr>
          <w:rFonts w:ascii="Arial" w:cs="Arial" w:eastAsia="Arial" w:hAnsi="Arial"/>
          <w:b/>
          <w:bCs/>
          <w:sz w:val="24"/>
          <w:szCs w:val="24"/>
        </w:rPr>
        <w:t xml:space="preserve">5.4. Áreas de Aplicación</w:t>
      </w:r>
    </w:p>
    <w:p>
      <w:pPr>
        <w:spacing w:after="80" w:before="80" w:line="276"/>
        <w:jc w:val="both"/>
      </w:pPr>
      <w:r>
        <w:rPr>
          <w:rFonts w:ascii="Arial" w:cs="Arial" w:eastAsia="Arial" w:hAnsi="Arial"/>
          <w:sz w:val="22"/>
          <w:szCs w:val="22"/>
        </w:rPr>
        <w:t xml:space="preserve">Las aplicaciones del IoT y la sensorización abarcan prácticamente todos los sectores de actividad. En el ámbito de las ciudades inteligentes o Smart Cities, la sensorización del espacio urbano permite la gestión dinámica del tráfico, el alumbrado público adaptativo, la monitorización de la calidad del aire y la optimización de la recogida de residuos. En el sector salud, los dispositivos wearables y los sensores implantables posibilitan la monitorización continua de parámetros biométricos para la medicina preventiva y el seguimiento de enfermedades crónicas. En la agricultura de precisión, redes de sensores de humedad del suelo, temperatura y estaciones meteorológicas conectadas permiten optimizar el uso del agua y los fertilizantes. En la industria, el mantenimiento predictivo basado en el análisis de datos de sensores vibracionales y térmicos reduce el tiempo de inactividad no planificado y los costes de mantenimiento.</w:t>
      </w:r>
    </w:p>
    <w:p>
      <w:pPr>
        <w:pStyle w:val="Heading1"/>
        <w:spacing w:after="160" w:before="320"/>
      </w:pPr>
      <w:r>
        <w:rPr>
          <w:rFonts w:ascii="Arial" w:cs="Arial" w:eastAsia="Arial" w:hAnsi="Arial"/>
          <w:b/>
          <w:bCs/>
          <w:sz w:val="28"/>
          <w:szCs w:val="28"/>
        </w:rPr>
        <w:t xml:space="preserve">6. Conclusión</w:t>
      </w:r>
    </w:p>
    <w:p>
      <w:pPr>
        <w:spacing w:after="80" w:before="80" w:line="276"/>
        <w:jc w:val="both"/>
      </w:pPr>
      <w:r>
        <w:rPr>
          <w:rFonts w:ascii="Arial" w:cs="Arial" w:eastAsia="Arial" w:hAnsi="Arial"/>
          <w:sz w:val="22"/>
          <w:szCs w:val="22"/>
        </w:rPr>
        <w:t xml:space="preserve">Internet constituye hoy la infraestructura crítica sobre la que se sustenta la sociedad digital, y su comprensión técnica y funcional resulta indispensable para cualquier profesional del sector público o privado con responsabilidades en el ámbito de las tecnologías de la información. Desde los fundamentos de la conmutación de paquetes y la jerarquía de ISP, pasando por la pila de protocolos TCP/IP y la evolución de la web, hasta la irrupción del IoT y el edge computing, todos estos elementos configuran un ecosistema tecnológico en permanente transformación. La transición a IPv6, el despliegue del 5G, la descentralización de la Web 3.0 y la proliferación de dispositivos conectados definen las grandes tendencias que marcarán la evolución de la red en los próximos años, con implicaciones directas sobre la seguridad, la privacidad, la soberanía tecnológica y la organización de las administraciones públicas y las empresas.</w:t>
      </w:r>
    </w:p>
    <w:sectPr>
      <w:pgSz w:w="11906" w:h="16838" w:orient="portrait"/>
      <w:pgMar w:top="1440" w:right="126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F3864"/>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2E5FA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2026-05-29T17:47:29.711Z</dcterms:created>
  <dcterms:modified xsi:type="dcterms:W3CDTF">2026-05-29T17:47:29.711Z</dcterms:modified>
</cp:coreProperties>
</file>

<file path=docProps/custom.xml><?xml version="1.0" encoding="utf-8"?>
<Properties xmlns="http://schemas.openxmlformats.org/officeDocument/2006/custom-properties" xmlns:vt="http://schemas.openxmlformats.org/officeDocument/2006/docPropsVTypes"/>
</file>