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F3864"/>
          <w:sz w:val="36"/>
          <w:szCs w:val="36"/>
        </w:rPr>
        <w:t xml:space="preserve">TEMA 68</w:t>
      </w:r>
    </w:p>
    <w:p>
      <w:pPr>
        <w:spacing w:after="40" w:before="0"/>
        <w:jc w:val="center"/>
      </w:pPr>
      <w:r>
        <w:rPr>
          <w:rFonts w:ascii="Arial" w:cs="Arial" w:eastAsia="Arial" w:hAnsi="Arial"/>
          <w:b/>
          <w:bCs/>
          <w:color w:val="2E5FA3"/>
          <w:sz w:val="26"/>
          <w:szCs w:val="26"/>
        </w:rPr>
        <w:t xml:space="preserve">Comunicaciones sobre IP: Servicios de VoIP.</w:t>
      </w:r>
    </w:p>
    <w:p>
      <w:pPr>
        <w:spacing w:after="400" w:before="0"/>
        <w:jc w:val="center"/>
      </w:pPr>
      <w:r>
        <w:rPr>
          <w:rFonts w:ascii="Arial" w:cs="Arial" w:eastAsia="Arial" w:hAnsi="Arial"/>
          <w:b/>
          <w:bCs/>
          <w:color w:val="2E5FA3"/>
          <w:sz w:val="26"/>
          <w:szCs w:val="26"/>
        </w:rPr>
        <w:t xml:space="preserve">Convergencia fijo-móvil. Servicios multimedia sobre redes de paquetes.</w:t>
      </w:r>
    </w:p>
    <w:p>
      <w:pPr>
        <w:pStyle w:val="Heading1"/>
        <w:spacing w:after="140" w:before="200"/>
      </w:pPr>
      <w:r>
        <w:rPr>
          <w:rFonts w:ascii="Arial" w:cs="Arial" w:eastAsia="Arial" w:hAnsi="Arial"/>
          <w:b/>
          <w:bCs/>
        </w:rPr>
        <w:t xml:space="preserve">1. Introducción y Fundamentos de la Voz sobre IP (VoIP)</w:t>
      </w:r>
    </w:p>
    <w:p>
      <w:pPr>
        <w:spacing w:after="140" w:before="0" w:line="276"/>
        <w:jc w:val="both"/>
      </w:pPr>
      <w:r>
        <w:rPr>
          <w:rFonts w:ascii="Arial" w:cs="Arial" w:eastAsia="Arial" w:hAnsi="Arial"/>
          <w:sz w:val="22"/>
          <w:szCs w:val="22"/>
        </w:rPr>
        <w:t xml:space="preserve">La Voz sobre IP (VoIP) representa uno de los cambios de paradigma más significativos en la historia de las telecomunicaciones. Más allá de una mera evolución técnica en la transmisión de audio, constituye la transición estructural de las redes de conmutación de circuitos hacia arquitecturas basadas íntegramente en la conmutación de paquetes. En este modelo, la señal de voz se digitaliza, comprime, fragmenta en paquetes IP y se transmite a través de redes de datos compartidas, siendo reconstituida en el destino.</w:t>
      </w:r>
    </w:p>
    <w:p>
      <w:pPr>
        <w:spacing w:after="140" w:before="0" w:line="276"/>
        <w:jc w:val="both"/>
      </w:pPr>
      <w:r>
        <w:rPr>
          <w:rFonts w:ascii="Arial" w:cs="Arial" w:eastAsia="Arial" w:hAnsi="Arial"/>
          <w:sz w:val="22"/>
          <w:szCs w:val="22"/>
        </w:rPr>
        <w:t xml:space="preserve">Esta transformación tiene implicaciones estratégicas de primer orden: permite la unificación de infraestructuras de voz y datos, reduce los costes operativos y habilita el apagado progresivo de tecnologías legadas como las redes de conmutación de circuitos (PSTN) y las redes móviles de segunda y tercera generación (2G/3G), liberando el valioso espectro radioeléctrico que estas ocupaban.</w:t>
      </w:r>
    </w:p>
    <w:p>
      <w:pPr>
        <w:pStyle w:val="Heading2"/>
        <w:spacing w:after="100" w:before="200"/>
      </w:pPr>
      <w:r>
        <w:rPr>
          <w:rFonts w:ascii="Arial" w:cs="Arial" w:eastAsia="Arial" w:hAnsi="Arial"/>
          <w:b/>
          <w:bCs/>
        </w:rPr>
        <w:t xml:space="preserve">1.1. El Codec como tecnología habilitadora central</w:t>
      </w:r>
    </w:p>
    <w:p>
      <w:pPr>
        <w:spacing w:after="140" w:before="0" w:line="276"/>
        <w:jc w:val="both"/>
      </w:pPr>
      <w:r>
        <w:rPr>
          <w:rFonts w:ascii="Arial" w:cs="Arial" w:eastAsia="Arial" w:hAnsi="Arial"/>
          <w:sz w:val="22"/>
          <w:szCs w:val="22"/>
        </w:rPr>
        <w:t xml:space="preserve">La tecnología habilitadora central de la VoIP es el codec (codificador-decodificador), responsable de la conversión de la señal analógica de voz en un flujo digital encapsulable en paquetes IP. La elección del codec determina el compromiso entre la fidelidad del audio, el consumo de ancho de banda y la complejidad computacional del procesamiento.</w:t>
      </w:r>
    </w:p>
    <w:p>
      <w:pPr>
        <w:spacing w:after="140" w:before="0" w:line="276"/>
        <w:jc w:val="both"/>
      </w:pPr>
      <w:r>
        <w:rPr>
          <w:rFonts w:ascii="Arial" w:cs="Arial" w:eastAsia="Arial" w:hAnsi="Arial"/>
          <w:b w:val="false"/>
          <w:bCs w:val="false"/>
          <w:sz w:val="22"/>
          <w:szCs w:val="22"/>
        </w:rPr>
        <w:t xml:space="preserve">El codec G.711 </w:t>
      </w:r>
      <w:r>
        <w:rPr>
          <w:rFonts w:ascii="Arial" w:cs="Arial" w:eastAsia="Arial" w:hAnsi="Arial"/>
          <w:b w:val="false"/>
          <w:bCs w:val="false"/>
          <w:sz w:val="22"/>
          <w:szCs w:val="22"/>
        </w:rPr>
        <w:t xml:space="preserve">(A-law en Europa, μ-law en Norteamérica)</w:t>
      </w:r>
      <w:r>
        <w:rPr>
          <w:rFonts w:ascii="Arial" w:cs="Arial" w:eastAsia="Arial" w:hAnsi="Arial"/>
          <w:b w:val="false"/>
          <w:bCs w:val="false"/>
          <w:sz w:val="22"/>
          <w:szCs w:val="22"/>
        </w:rPr>
        <w:t xml:space="preserve"> es el estándar clásico de telefonía conmutada, con una tasa de bits de 64 kbps y calidad equivalente a la telefonía convencional. El </w:t>
      </w:r>
      <w:r>
        <w:rPr>
          <w:rFonts w:ascii="Arial" w:cs="Arial" w:eastAsia="Arial" w:hAnsi="Arial"/>
          <w:b/>
          <w:bCs/>
          <w:sz w:val="22"/>
          <w:szCs w:val="22"/>
        </w:rPr>
        <w:t xml:space="preserve">G.722</w:t>
      </w:r>
      <w:r>
        <w:rPr>
          <w:rFonts w:ascii="Arial" w:cs="Arial" w:eastAsia="Arial" w:hAnsi="Arial"/>
          <w:b w:val="false"/>
          <w:bCs w:val="false"/>
          <w:sz w:val="22"/>
          <w:szCs w:val="22"/>
        </w:rPr>
        <w:t xml:space="preserve"> ofrece voz en alta definición (HD Voice, hasta 7.000 Hz) manteniendo el mismo bitrate gracias a técnicas de codificación en subbandas. El </w:t>
      </w:r>
      <w:r>
        <w:rPr>
          <w:rFonts w:ascii="Arial" w:cs="Arial" w:eastAsia="Arial" w:hAnsi="Arial"/>
          <w:b/>
          <w:bCs/>
          <w:sz w:val="22"/>
          <w:szCs w:val="22"/>
        </w:rPr>
        <w:t xml:space="preserve">G.729</w:t>
      </w:r>
      <w:r>
        <w:rPr>
          <w:rFonts w:ascii="Arial" w:cs="Arial" w:eastAsia="Arial" w:hAnsi="Arial"/>
          <w:b w:val="false"/>
          <w:bCs w:val="false"/>
          <w:sz w:val="22"/>
          <w:szCs w:val="22"/>
        </w:rPr>
        <w:t xml:space="preserve">, con apenas 8 kbps, es esencial en enlaces con capacidad limitada. El codec </w:t>
      </w:r>
      <w:r>
        <w:rPr>
          <w:rFonts w:ascii="Arial" w:cs="Arial" w:eastAsia="Arial" w:hAnsi="Arial"/>
          <w:b/>
          <w:bCs/>
          <w:sz w:val="22"/>
          <w:szCs w:val="22"/>
        </w:rPr>
        <w:t xml:space="preserve">Opus</w:t>
      </w:r>
      <w:r>
        <w:rPr>
          <w:rFonts w:ascii="Arial" w:cs="Arial" w:eastAsia="Arial" w:hAnsi="Arial"/>
          <w:b w:val="false"/>
          <w:bCs w:val="false"/>
          <w:sz w:val="22"/>
          <w:szCs w:val="22"/>
        </w:rPr>
        <w:t xml:space="preserve">, de carácter abierto, destaca por su carácter adaptativo (de 6 a 510 kbps) y su gran resiliencia ante variaciones de latencia (jitter). Finalmente, el </w:t>
      </w:r>
      <w:r>
        <w:rPr>
          <w:rFonts w:ascii="Arial" w:cs="Arial" w:eastAsia="Arial" w:hAnsi="Arial"/>
          <w:b/>
          <w:bCs/>
          <w:sz w:val="22"/>
          <w:szCs w:val="22"/>
        </w:rPr>
        <w:t xml:space="preserve">EVS (Enhanced Voice Services)</w:t>
      </w:r>
      <w:r>
        <w:rPr>
          <w:rFonts w:ascii="Arial" w:cs="Arial" w:eastAsia="Arial" w:hAnsi="Arial"/>
          <w:b w:val="false"/>
          <w:bCs w:val="false"/>
          <w:sz w:val="22"/>
          <w:szCs w:val="22"/>
        </w:rPr>
        <w:t xml:space="preserve"> representa el estado del arte en fidelidad de audio, siendo obligatorio en redes 5G (VoNR) y opcional en VoLTE.</w:t>
      </w:r>
    </w:p>
    <w:p>
      <w:pPr>
        <w:spacing w:after="140" w:before="0" w:line="276"/>
        <w:jc w:val="both"/>
      </w:pPr>
      <w:r>
        <w:rPr>
          <w:rFonts w:ascii="Arial" w:cs="Arial" w:eastAsia="Arial" w:hAnsi="Arial"/>
          <w:sz w:val="22"/>
          <w:szCs w:val="22"/>
        </w:rPr>
        <w:t xml:space="preserve">En la planificación de capacidad de red, es fundamental distinguir entre la tasa de bits de la carga útil y el ancho de banda total consumido, que incluye las cabeceras de los protocolos de transporte (RTP, UDP, IP). Como principio de diseño, se recomienda garantizar un margen de maniobra del 20% sobre la capacidad calculada. Los protocolos de transporte principales son RTP (Real-time Transport Protocol) para la entrega de medios y RTCP (RTP Control Protocol) para la monitorización de la calidad.</w:t>
      </w:r>
    </w:p>
    <w:p>
      <w:pPr>
        <w:pStyle w:val="Heading1"/>
        <w:spacing w:after="140" w:before="200"/>
      </w:pPr>
      <w:r>
        <w:rPr>
          <w:rFonts w:ascii="Arial" w:cs="Arial" w:eastAsia="Arial" w:hAnsi="Arial"/>
          <w:b/>
          <w:bCs/>
        </w:rPr>
        <w:t xml:space="preserve">2. El Subsistema Multimedia IP (IMS) como núcleo de la convergencia</w:t>
      </w:r>
    </w:p>
    <w:p>
      <w:pPr>
        <w:spacing w:after="140" w:before="0" w:line="276"/>
        <w:jc w:val="both"/>
      </w:pPr>
      <w:r>
        <w:rPr>
          <w:rFonts w:ascii="Arial" w:cs="Arial" w:eastAsia="Arial" w:hAnsi="Arial"/>
          <w:sz w:val="22"/>
          <w:szCs w:val="22"/>
        </w:rPr>
        <w:t xml:space="preserve">El Subsistema Multimedia IP (IP Multimedia Subsystem, IMS) es la arquitectura de control estandarizada por el 3GPP que permite ofrecer servicios multimedia (voz, vídeo, mensajería) de forma consistente e independiente del medio de acceso utilizado. Se define como una arquitectura access-agnostic, capaz de gestionar sesiones tanto si el usuario accede a través de LTE, NR (5G) o Wi-Fi.</w:t>
      </w:r>
    </w:p>
    <w:p>
      <w:pPr>
        <w:spacing w:after="140" w:before="0" w:line="276"/>
        <w:jc w:val="both"/>
      </w:pPr>
      <w:r>
        <w:rPr>
          <w:rFonts w:ascii="Arial" w:cs="Arial" w:eastAsia="Arial" w:hAnsi="Arial"/>
          <w:sz w:val="22"/>
          <w:szCs w:val="22"/>
        </w:rPr>
        <w:t xml:space="preserve">El IMS utiliza el protocolo SIP (Session Initiation Protocol) como señalización estándar para el establecimiento, modificación y terminación de sesiones multimedia. SIP es un protocolo de capa de aplicación, de tipo texto, que opera sobre UDP o TCP y cuya arquitectura distribuida facilita la escalabilidad.</w:t>
      </w:r>
    </w:p>
    <w:p>
      <w:pPr>
        <w:pStyle w:val="Heading2"/>
        <w:spacing w:after="100" w:before="200"/>
      </w:pPr>
      <w:r>
        <w:rPr>
          <w:rFonts w:ascii="Arial" w:cs="Arial" w:eastAsia="Arial" w:hAnsi="Arial"/>
          <w:b/>
          <w:bCs/>
        </w:rPr>
        <w:t xml:space="preserve">2.1. Componentes críticos del plano de control</w:t>
      </w:r>
    </w:p>
    <w:p>
      <w:pPr>
        <w:spacing w:after="140" w:before="0" w:line="276"/>
        <w:jc w:val="both"/>
      </w:pPr>
      <w:r>
        <w:rPr>
          <w:rFonts w:ascii="Arial" w:cs="Arial" w:eastAsia="Arial" w:hAnsi="Arial"/>
          <w:b/>
          <w:bCs/>
          <w:sz w:val="22"/>
          <w:szCs w:val="22"/>
        </w:rPr>
        <w:t xml:space="preserve">Los nodos CSCF (Call Session Control Function)</w:t>
      </w:r>
      <w:r>
        <w:rPr>
          <w:rFonts w:ascii="Arial" w:cs="Arial" w:eastAsia="Arial" w:hAnsi="Arial"/>
          <w:b w:val="false"/>
          <w:bCs w:val="false"/>
          <w:sz w:val="22"/>
          <w:szCs w:val="22"/>
        </w:rPr>
        <w:t xml:space="preserve"> son el corazón del IMS. El </w:t>
      </w:r>
      <w:r>
        <w:rPr>
          <w:rFonts w:ascii="Arial" w:cs="Arial" w:eastAsia="Arial" w:hAnsi="Arial"/>
          <w:b/>
          <w:bCs/>
          <w:sz w:val="22"/>
          <w:szCs w:val="22"/>
        </w:rPr>
        <w:t xml:space="preserve">P-CSCF (Proxy-CSCF)</w:t>
      </w:r>
      <w:r>
        <w:rPr>
          <w:rFonts w:ascii="Arial" w:cs="Arial" w:eastAsia="Arial" w:hAnsi="Arial"/>
          <w:b w:val="false"/>
          <w:bCs w:val="false"/>
          <w:sz w:val="22"/>
          <w:szCs w:val="22"/>
        </w:rPr>
        <w:t xml:space="preserve"> es el primer punto de contacto del terminal con el IMS; gestiona la seguridad y la compresión de señalización. El </w:t>
      </w:r>
      <w:r>
        <w:rPr>
          <w:rFonts w:ascii="Arial" w:cs="Arial" w:eastAsia="Arial" w:hAnsi="Arial"/>
          <w:b/>
          <w:bCs/>
          <w:sz w:val="22"/>
          <w:szCs w:val="22"/>
        </w:rPr>
        <w:t xml:space="preserve">I-CSCF (Interrogating-CSCF)</w:t>
      </w:r>
      <w:r>
        <w:rPr>
          <w:rFonts w:ascii="Arial" w:cs="Arial" w:eastAsia="Arial" w:hAnsi="Arial"/>
          <w:b w:val="false"/>
          <w:bCs w:val="false"/>
          <w:sz w:val="22"/>
          <w:szCs w:val="22"/>
        </w:rPr>
        <w:t xml:space="preserve"> actúa como punto de entrada para las sesiones entrantes desde otras redes, consultando al HSS para localizar el S-CSCF asignado. El </w:t>
      </w:r>
      <w:r>
        <w:rPr>
          <w:rFonts w:ascii="Arial" w:cs="Arial" w:eastAsia="Arial" w:hAnsi="Arial"/>
          <w:b/>
          <w:bCs/>
          <w:sz w:val="22"/>
          <w:szCs w:val="22"/>
        </w:rPr>
        <w:t xml:space="preserve">S-CSCF (Serving-CSCF)</w:t>
      </w:r>
      <w:r>
        <w:rPr>
          <w:rFonts w:ascii="Arial" w:cs="Arial" w:eastAsia="Arial" w:hAnsi="Arial"/>
          <w:b w:val="false"/>
          <w:bCs w:val="false"/>
          <w:sz w:val="22"/>
          <w:szCs w:val="22"/>
        </w:rPr>
        <w:t xml:space="preserve"> es el nodo que realmente presta el servicio, ejecutando la lógica de los servicios SIP para los usuarios registrados.</w:t>
      </w:r>
    </w:p>
    <w:p>
      <w:pPr>
        <w:spacing w:after="140" w:before="0" w:line="276"/>
        <w:jc w:val="both"/>
      </w:pPr>
      <w:r>
        <w:rPr>
          <w:rFonts w:ascii="Arial" w:cs="Arial" w:eastAsia="Arial" w:hAnsi="Arial"/>
          <w:b/>
          <w:bCs/>
          <w:sz w:val="22"/>
          <w:szCs w:val="22"/>
        </w:rPr>
        <w:t xml:space="preserve">El HSS/UDM (Home Subscriber Server / Unified Data Management)</w:t>
      </w:r>
      <w:r>
        <w:rPr>
          <w:rFonts w:ascii="Arial" w:cs="Arial" w:eastAsia="Arial" w:hAnsi="Arial"/>
          <w:b w:val="false"/>
          <w:bCs w:val="false"/>
          <w:sz w:val="22"/>
          <w:szCs w:val="22"/>
        </w:rPr>
        <w:t xml:space="preserve"> constituye el repositorio maestro de datos de usuario, almacenando perfiles de suscripción, información de autenticación e identidades de servicio. La función </w:t>
      </w:r>
      <w:r>
        <w:rPr>
          <w:rFonts w:ascii="Arial" w:cs="Arial" w:eastAsia="Arial" w:hAnsi="Arial"/>
          <w:b/>
          <w:bCs/>
          <w:sz w:val="22"/>
          <w:szCs w:val="22"/>
        </w:rPr>
        <w:t xml:space="preserve">ENUM-DNS</w:t>
      </w:r>
      <w:r>
        <w:rPr>
          <w:rFonts w:ascii="Arial" w:cs="Arial" w:eastAsia="Arial" w:hAnsi="Arial"/>
          <w:b w:val="false"/>
          <w:bCs w:val="false"/>
          <w:sz w:val="22"/>
          <w:szCs w:val="22"/>
        </w:rPr>
        <w:t xml:space="preserve"> es esencial para la traducción de números telefónicos tradicionales (E.164) en URIs SIP direccionables en IP, actuando como pasarela entre el mundo de la numeración clásica y el ecosistema IP.</w:t>
      </w:r>
    </w:p>
    <w:p>
      <w:pPr>
        <w:pStyle w:val="Heading2"/>
        <w:spacing w:after="100" w:before="200"/>
      </w:pPr>
      <w:r>
        <w:rPr>
          <w:rFonts w:ascii="Arial" w:cs="Arial" w:eastAsia="Arial" w:hAnsi="Arial"/>
          <w:b/>
          <w:bCs/>
        </w:rPr>
        <w:t xml:space="preserve">2.2. Virtualización, NFV/SDN y Edge Computing</w:t>
      </w:r>
    </w:p>
    <w:p>
      <w:pPr>
        <w:spacing w:after="140" w:before="0" w:line="276"/>
        <w:jc w:val="both"/>
      </w:pPr>
      <w:r>
        <w:rPr>
          <w:rFonts w:ascii="Arial" w:cs="Arial" w:eastAsia="Arial" w:hAnsi="Arial"/>
          <w:sz w:val="22"/>
          <w:szCs w:val="22"/>
        </w:rPr>
        <w:t xml:space="preserve">La relevancia estratégica del IMS reside en la separación neta entre el plano de control y el plano de usuario, principio conocido como CUPS (Control and User Plane Separation). Esta arquitectura constituye la base técnica para el despliegue de funciones de red virtualizadas (NFV) y redes definidas por software (SDN), permitiendo a los operadores escalar recursos de forma elástica en función de la demanda.</w:t>
      </w:r>
    </w:p>
    <w:p>
      <w:pPr>
        <w:spacing w:after="140" w:before="0" w:line="276"/>
        <w:jc w:val="both"/>
      </w:pPr>
      <w:r>
        <w:rPr>
          <w:rFonts w:ascii="Arial" w:cs="Arial" w:eastAsia="Arial" w:hAnsi="Arial"/>
          <w:sz w:val="22"/>
          <w:szCs w:val="22"/>
        </w:rPr>
        <w:t xml:space="preserve">Complementariamente, el paradigma del Edge Computing o MEC (Multi-access Edge Computing) permite situar el procesamiento de medios en nodos próximos al usuario final, minimizando la latencia extremo a extremo. Esta combinación de CUPS, NFV/SDN y MEC define la arquitectura de red de nueva generación sobre la que se despliegan los servicios multimedia de quinta generación.</w:t>
      </w:r>
    </w:p>
    <w:p>
      <w:pPr>
        <w:pStyle w:val="Heading1"/>
        <w:spacing w:after="140" w:before="200"/>
      </w:pPr>
      <w:r>
        <w:rPr>
          <w:rFonts w:ascii="Arial" w:cs="Arial" w:eastAsia="Arial" w:hAnsi="Arial"/>
          <w:b/>
          <w:bCs/>
        </w:rPr>
        <w:t xml:space="preserve">3. Arquitecturas de Voz sobre Wi-Fi (VoWiFi) y Acceso No-3GPP</w:t>
      </w:r>
    </w:p>
    <w:p>
      <w:pPr>
        <w:spacing w:after="140" w:before="0" w:line="276"/>
        <w:jc w:val="both"/>
      </w:pPr>
      <w:r>
        <w:rPr>
          <w:rFonts w:ascii="Arial" w:cs="Arial" w:eastAsia="Arial" w:hAnsi="Arial"/>
          <w:sz w:val="22"/>
          <w:szCs w:val="22"/>
        </w:rPr>
        <w:t xml:space="preserve">La tecnología VoWiFi permite extender los servicios de voz y multimedia del núcleo de red móvil sobre redes de área local inalámbricas (WLAN), siendo especialmente valiosa para mejorar la cobertura en entornos interiores donde la propagación radioeléctrica es deficiente. Su arquitectura de referencia se recoge en la especificación 3GPP TS 23.402 y en las directrices de la GSMA (IR.51, IR.61).</w:t>
      </w:r>
    </w:p>
    <w:p>
      <w:pPr>
        <w:spacing w:after="140" w:before="0" w:line="276"/>
        <w:jc w:val="both"/>
      </w:pPr>
      <w:r>
        <w:rPr>
          <w:rFonts w:ascii="Arial" w:cs="Arial" w:eastAsia="Arial" w:hAnsi="Arial"/>
          <w:sz w:val="22"/>
          <w:szCs w:val="22"/>
        </w:rPr>
        <w:t xml:space="preserve">La integración de accesos no-3GPP en el núcleo de red puede realizarse siguiendo tres modelos diferenciados. En el modelo de acceso no confiable (Untrusted WLAN), el tráfico cursado a través de redes Wi-Fi públicas viaja por internet asegurado mediante un túnel IPsec hasta el nodo ePDG (evolved Packet Data Gateway), que actúa como punto de entrada seguro al núcleo. En el modelo de acceso confiable (Trusted WLAN), aplicable a redes Wi-Fi gestionadas por el propio operador, el acceso se realiza directamente a través del TWAG (Trusted Wireless Access Gateway), conectado al P-GW mediante protocolos de túnel como GTP, MIP o PMIP, sin necesidad de cifrado adicional. Existe también un tercer enfoque basado en aplicaciones (IMS Direct Access), orientado a dispositivos sin soporte nativo o sin tarjeta SIM.</w:t>
      </w:r>
    </w:p>
    <w:p>
      <w:pPr>
        <w:spacing w:after="140" w:before="0" w:line="276"/>
        <w:jc w:val="both"/>
      </w:pPr>
      <w:r>
        <w:rPr>
          <w:rFonts w:ascii="Arial" w:cs="Arial" w:eastAsia="Arial" w:hAnsi="Arial"/>
          <w:sz w:val="22"/>
          <w:szCs w:val="22"/>
        </w:rPr>
        <w:t xml:space="preserve">Una consideración técnica crítica es que los accesos no confiables presentan limitaciones inherentes para garantizar parámetros deterministas de Calidad de Servicio (QoS), dado que el operador no tiene visibilidad ni control sobre las condiciones de la red pública (jitter, pérdida de paquetes). Para gestionar este riesgo, la función ANDSF (Access Network Detection and Selection Function) permite forzar de forma inteligente la reselección hacia la red LTE cuando la calidad de la conexión Wi-Fi se degrada por debajo de umbrales predefinidos, garantizando así la continuidad de la sesión.</w:t>
      </w:r>
    </w:p>
    <w:p>
      <w:pPr>
        <w:pStyle w:val="Heading1"/>
        <w:spacing w:after="140" w:before="200"/>
      </w:pPr>
      <w:r>
        <w:rPr>
          <w:rFonts w:ascii="Arial" w:cs="Arial" w:eastAsia="Arial" w:hAnsi="Arial"/>
          <w:b/>
          <w:bCs/>
        </w:rPr>
        <w:t xml:space="preserve">4. Convergencia Fijo-Móvil (FMC) en el Escenario 5G</w:t>
      </w:r>
    </w:p>
    <w:p>
      <w:pPr>
        <w:spacing w:after="140" w:before="0" w:line="276"/>
        <w:jc w:val="both"/>
      </w:pPr>
      <w:r>
        <w:rPr>
          <w:rFonts w:ascii="Arial" w:cs="Arial" w:eastAsia="Arial" w:hAnsi="Arial"/>
          <w:sz w:val="22"/>
          <w:szCs w:val="22"/>
        </w:rPr>
        <w:t xml:space="preserve">La Convergencia Fijo-Móvil (Fixed-Mobile Convergence, FMC) representa la evolución más ambiciosa del paradigma de red unificada: la eliminación de las fronteras operativas y técnicas entre las redes de acceso fijo (fibra, cable) y las redes de acceso móvil. La visión conjunta del Broadband Forum (BBF) y el 3GPP, plasmada en el documento BBF SD-407, persigue la transformación de estos dos ecosistemas en una infraestructura de procesos y gestión completamente unificados.</w:t>
      </w:r>
    </w:p>
    <w:p>
      <w:pPr>
        <w:pStyle w:val="Heading2"/>
        <w:spacing w:after="100" w:before="200"/>
      </w:pPr>
      <w:r>
        <w:rPr>
          <w:rFonts w:ascii="Arial" w:cs="Arial" w:eastAsia="Arial" w:hAnsi="Arial"/>
          <w:b/>
          <w:bCs/>
        </w:rPr>
        <w:t xml:space="preserve">4.1. Arquitectura de convergencia total en 5G</w:t>
      </w:r>
    </w:p>
    <w:p>
      <w:pPr>
        <w:spacing w:after="140" w:before="0" w:line="276"/>
        <w:jc w:val="both"/>
      </w:pPr>
      <w:r>
        <w:rPr>
          <w:rFonts w:ascii="Arial" w:cs="Arial" w:eastAsia="Arial" w:hAnsi="Arial"/>
          <w:sz w:val="22"/>
          <w:szCs w:val="22"/>
        </w:rPr>
        <w:t xml:space="preserve">La integración nativa del acceso fijo en el Core 5G se articula en torno a dos nodos fundamentales. El 5G AGF (Access Gateway Function) permite que la red de acceso fijo presente interfaces nativas hacia el núcleo 5G, haciendo que las redes de banda ancha residencial y empresarial sean transparentes para las funciones del Core. Las interfaces unificadas N1, N2 y N3 habilitan respectivamente el control del terminal (UE o Residential Gateway), el plano de control entre el acceso y el AMF (Access and Mobility Management Function), y el plano de usuario hacia la UPF (User Plane Function). La gestión de sesiones de datos se realiza a través del SMF (Session Management Function) mediante la interfaz N4 con la UPF.</w:t>
      </w:r>
    </w:p>
    <w:p>
      <w:pPr>
        <w:spacing w:after="140" w:before="0" w:line="276"/>
        <w:jc w:val="both"/>
      </w:pPr>
      <w:r>
        <w:rPr>
          <w:rFonts w:ascii="Arial" w:cs="Arial" w:eastAsia="Arial" w:hAnsi="Arial"/>
          <w:sz w:val="22"/>
          <w:szCs w:val="22"/>
        </w:rPr>
        <w:t xml:space="preserve">En este marco convergente, el Network Slicing —rebanado de red— adquiere especial relevancia. Esta tecnología permite crear instancias virtuales de red con características de QoS garantizadas y aisladas, de modo que flujos multimedia críticos (como cirugía remota o telemedicina) disponen de latencia y ancho de banda garantizados, independientemente de si el transporte subyacente es fibra (Wireline AN) o radio (NG-RAN).</w:t>
      </w:r>
    </w:p>
    <w:p>
      <w:pPr>
        <w:pStyle w:val="Heading2"/>
        <w:spacing w:after="100" w:before="200"/>
      </w:pPr>
      <w:r>
        <w:rPr>
          <w:rFonts w:ascii="Arial" w:cs="Arial" w:eastAsia="Arial" w:hAnsi="Arial"/>
          <w:b/>
          <w:bCs/>
        </w:rPr>
        <w:t xml:space="preserve">4.2. Estrategia de migración según el BBF</w:t>
      </w:r>
    </w:p>
    <w:p>
      <w:pPr>
        <w:spacing w:after="140" w:before="0" w:line="276"/>
        <w:jc w:val="both"/>
      </w:pPr>
      <w:r>
        <w:rPr>
          <w:rFonts w:ascii="Arial" w:cs="Arial" w:eastAsia="Arial" w:hAnsi="Arial"/>
          <w:sz w:val="22"/>
          <w:szCs w:val="22"/>
        </w:rPr>
        <w:t xml:space="preserve">El camino hacia la convergencia total se estructura en tres estadios progresivos. En la fase de coexistencia, las infraestructuras fija y móvil operan en paralelo, compartiendo en lo posible plataformas de gestión y facturación, pero sin integración técnica de sus planos de control y usuario. En la fase de interworking, la función 5G FMIF (Fixed Mobile Interworking Function) actúa como elemento de interconexión entre el núcleo de red fijo y el Core 5G, permitiendo el intercambio de información de sesiones y la movilidad entre accesos. La fase de convergencia total, objetivo final de este proceso, implica que la red de acceso fijo soporta directamente las interfaces nativas N2 y N3 hacia el Core 5G, eliminando toda función de interconexión intermedia y logrando una infraestructura verdaderamente unificada.</w:t>
      </w:r>
    </w:p>
    <w:p>
      <w:pPr>
        <w:pStyle w:val="Heading1"/>
        <w:spacing w:after="140" w:before="200"/>
      </w:pPr>
      <w:r>
        <w:rPr>
          <w:rFonts w:ascii="Arial" w:cs="Arial" w:eastAsia="Arial" w:hAnsi="Arial"/>
          <w:b/>
          <w:bCs/>
        </w:rPr>
        <w:t xml:space="preserve">5. Servicios Multimedia sobre Redes de Paquetes</w:t>
      </w:r>
    </w:p>
    <w:p>
      <w:pPr>
        <w:spacing w:after="140" w:before="0" w:line="276"/>
        <w:jc w:val="both"/>
      </w:pPr>
      <w:r>
        <w:rPr>
          <w:rFonts w:ascii="Arial" w:cs="Arial" w:eastAsia="Arial" w:hAnsi="Arial"/>
          <w:sz w:val="22"/>
          <w:szCs w:val="22"/>
        </w:rPr>
        <w:t xml:space="preserve">Los servicios multimedia sobre redes de paquetes engloban el conjunto de aplicaciones que integran voz, vídeo, datos y mensajería sobre una infraestructura IP común. Este modelo contrasta radicalmente con la arquitectura de redes especializadas del pasado, en la que cada tipo de servicio requería su propia red dedicada.</w:t>
      </w:r>
    </w:p>
    <w:p>
      <w:pPr>
        <w:spacing w:after="140" w:before="0" w:line="276"/>
        <w:jc w:val="both"/>
      </w:pPr>
      <w:r>
        <w:rPr>
          <w:rFonts w:ascii="Arial" w:cs="Arial" w:eastAsia="Arial" w:hAnsi="Arial"/>
          <w:sz w:val="22"/>
          <w:szCs w:val="22"/>
        </w:rPr>
        <w:t xml:space="preserve">La prestación de servicios multimedia de calidad sobre redes de paquetes exige un control riguroso de los parámetros de QoS. Los tres parámetros críticos son la latencia o retardo extremo a extremo (que no debe superar los 150 ms unidireccionales según la recomendación UIT-T G.114 para telefonía de calidad aceptable), el jitter o variación del retardo (que debe ser inferior a 30-50 ms para evitar artefactos audibles), y la tasa de pérdida de paquetes (que debe mantenerse por debajo del 1% para garantizar inteligibilidad). Estos requisitos se satisfacen mediante mecanismos de QoS como DiffServ, marcado DSCP y gestión de colas prioritarias en los nodos de red.</w:t>
      </w:r>
    </w:p>
    <w:p>
      <w:pPr>
        <w:spacing w:after="140" w:before="0" w:line="276"/>
        <w:jc w:val="both"/>
      </w:pPr>
      <w:r>
        <w:rPr>
          <w:rFonts w:ascii="Arial" w:cs="Arial" w:eastAsia="Arial" w:hAnsi="Arial"/>
          <w:sz w:val="22"/>
          <w:szCs w:val="22"/>
        </w:rPr>
        <w:t xml:space="preserve">En el contexto del IMS y las redes 5G, la gestión de la QoS para sesiones multimedia se realiza a través del mecanismo de QoS Flows y la función PCF (Policy Control Function), que aplica políticas diferenciadas por tipo de servicio. Las sesiones de vídeoconferencia, voz o mensajería instantánea se identifican y tratan de forma diferenciada a lo largo de toda la cadena de transporte.</w:t>
      </w:r>
    </w:p>
    <w:p>
      <w:pPr>
        <w:spacing w:after="140" w:before="0" w:line="276"/>
        <w:jc w:val="both"/>
      </w:pPr>
      <w:r>
        <w:rPr>
          <w:rFonts w:ascii="Arial" w:cs="Arial" w:eastAsia="Arial" w:hAnsi="Arial"/>
          <w:sz w:val="22"/>
          <w:szCs w:val="22"/>
        </w:rPr>
        <w:t xml:space="preserve">Entre los servicios multimedia más relevantes desplegados sobre estas arquitecturas cabe mencionar el RCS (Rich Communication Services), sucesor del SMS convencional que integra mensajería enriquecida, compartición de ficheros y videollamadas bajo una única identidad de usuario; los servicios WebRTC, que permiten comunicaciones multimedia en tiempo real directamente desde el navegador sin plugins adicionales; y los servicios de streaming adaptativo (HLS, MPEG-DASH), que ajustan dinámicamente la resolución del vídeo en función de las condiciones de la red.</w:t>
      </w:r>
    </w:p>
    <w:p>
      <w:pPr>
        <w:pStyle w:val="Heading1"/>
        <w:spacing w:after="140" w:before="200"/>
      </w:pPr>
      <w:r>
        <w:rPr>
          <w:rFonts w:ascii="Arial" w:cs="Arial" w:eastAsia="Arial" w:hAnsi="Arial"/>
          <w:b/>
          <w:bCs/>
        </w:rPr>
        <w:t xml:space="preserve">6. Conclusión y Tendencias Futuras</w:t>
      </w:r>
    </w:p>
    <w:p>
      <w:pPr>
        <w:spacing w:after="140" w:before="0" w:line="276"/>
        <w:jc w:val="both"/>
      </w:pPr>
      <w:r>
        <w:rPr>
          <w:rFonts w:ascii="Arial" w:cs="Arial" w:eastAsia="Arial" w:hAnsi="Arial"/>
          <w:sz w:val="22"/>
          <w:szCs w:val="22"/>
        </w:rPr>
        <w:t xml:space="preserve">La consolidación de la VoIP, la convergencia fijo-móvil y los servicios multimedia sobre redes de paquetes marca el ocaso definitivo de las redes especializadas y dedicadas. La infraestructura de telecomunicaciones evoluciona hacia un modelo de eficiencia operativa que unifica el núcleo de red, reduciendo significativamente tanto el CAPEX como el OPEX de los operadores.</w:t>
      </w:r>
    </w:p>
    <w:p>
      <w:pPr>
        <w:spacing w:after="140" w:before="0" w:line="276"/>
        <w:jc w:val="both"/>
      </w:pPr>
      <w:r>
        <w:rPr>
          <w:rFonts w:ascii="Arial" w:cs="Arial" w:eastAsia="Arial" w:hAnsi="Arial"/>
          <w:sz w:val="22"/>
          <w:szCs w:val="22"/>
        </w:rPr>
        <w:t xml:space="preserve">El principio rector de este proceso es el concepto de red access-agnostic: un núcleo de red que procesa flujos de bits en función de sus requisitos de calidad, sin considerar la naturaleza del medio físico subyacente, ya sea fibra óptica, radio 5G o Wi-Fi. Tecnologías emergentes como el IoT masivo (mMTC) y las comunicaciones de ultra-baja latencia (URLLC) refuerzan esta tendencia, impulsando el despliegue de redes Fixed-Friendly capaces de gestionar de forma unificada millones de dispositivos heterogéneos.</w:t>
      </w:r>
    </w:p>
    <w:p>
      <w:pPr>
        <w:spacing w:after="140" w:before="0" w:line="276"/>
        <w:jc w:val="both"/>
      </w:pPr>
      <w:r>
        <w:rPr>
          <w:rFonts w:ascii="Arial" w:cs="Arial" w:eastAsia="Arial" w:hAnsi="Arial"/>
          <w:sz w:val="22"/>
          <w:szCs w:val="22"/>
        </w:rPr>
        <w:t xml:space="preserve">En definitiva, la convergencia fijo-móvil y los servicios multimedia sobre IP no son únicamente una mejora técnica incremental, sino la base necesaria para la prestación de los servicios digitales avanzados que demanda una sociedad plenamente conectada, constituyendo el fundamento sobre el que se construirán las comunicaciones de las próximas décadas.</w:t>
      </w:r>
    </w:p>
    <w:sectPr>
      <w:headerReference w:type="default" r:id="rId7"/>
      <w:footerReference w:type="default" r:id="rId8"/>
      <w:pgSz w:w="11906" w:h="16838" w:orient="portrait"/>
      <w:pgMar w:top="1134" w:right="1134" w:bottom="1134"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right"/>
    </w:pPr>
    <w:r>
      <w:rPr>
        <w:rFonts w:ascii="Arial" w:cs="Arial" w:eastAsia="Arial" w:hAnsi="Arial"/>
        <w:color w:val="666666"/>
        <w:sz w:val="18"/>
        <w:szCs w:val="18"/>
      </w:rPr>
      <w:t xml:space="preserve">Página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pPr>
    <w:r>
      <w:rPr>
        <w:rFonts w:ascii="Arial" w:cs="Arial" w:eastAsia="Arial" w:hAnsi="Arial"/>
        <w:i/>
        <w:iCs/>
        <w:color w:val="666666"/>
        <w:sz w:val="18"/>
        <w:szCs w:val="18"/>
      </w:rPr>
      <w:t xml:space="preserve">TEMA 68 — Comunicaciones sobre IP: VoIP, Convergencia Fijo-Móvil y Servicios Multimedia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864" w:sz="6" w:space="1"/>
      </w:pBdr>
      <w:spacing w:after="160" w:before="32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5FA3"/>
      <w:sz w:val="24"/>
      <w:szCs w:val="24"/>
    </w:rPr>
  </w:style>
  <w:style w:type="paragraph" w:styleId="Heading3">
    <w:name w:val="Heading 3"/>
    <w:basedOn w:val="Normal"/>
    <w:next w:val="Normal"/>
    <w:qFormat/>
    <w:pPr>
      <w:spacing w:after="80" w:before="18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2026-05-29T14:21:38.404Z</dcterms:created>
  <dcterms:modified xsi:type="dcterms:W3CDTF">2026-05-29T14:21:38.405Z</dcterms:modified>
</cp:coreProperties>
</file>

<file path=docProps/custom.xml><?xml version="1.0" encoding="utf-8"?>
<Properties xmlns="http://schemas.openxmlformats.org/officeDocument/2006/custom-properties" xmlns:vt="http://schemas.openxmlformats.org/officeDocument/2006/docPropsVTypes"/>
</file>