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jc w:val="center"/>
      </w:pPr>
      <w:r>
        <w:rPr>
          <w:rFonts w:ascii="Arial" w:cs="Arial" w:eastAsia="Arial" w:hAnsi="Arial"/>
          <w:b/>
          <w:bCs/>
          <w:sz w:val="32"/>
          <w:szCs w:val="32"/>
        </w:rPr>
        <w:t xml:space="preserve">TEMA 69</w:t>
      </w:r>
    </w:p>
    <w:p>
      <w:pPr>
        <w:spacing w:after="400" w:before="0"/>
        <w:jc w:val="center"/>
      </w:pPr>
      <w:r>
        <w:rPr>
          <w:rFonts w:ascii="Arial" w:cs="Arial" w:eastAsia="Arial" w:hAnsi="Arial"/>
          <w:b/>
          <w:bCs/>
          <w:sz w:val="24"/>
          <w:szCs w:val="24"/>
        </w:rPr>
        <w:t xml:space="preserve">REDES INALÁMBRICAS: RADIOCOMUNICACIONES MÓVILES. RADIOTELEFONÍA MÓVIL PRIVADA. SISTEMAS TRUNKING. TETRA. SISTEMAS DE TELEFONÍA MÓVIL DIGITAL. GENERACIONES DE TECNOLOGÍAS DE TELEFONÍA MÓVIL DIGITAL. REDES DE ACCESO INALÁMBRICO. LMDS, MMDS, MVDS.</w:t>
      </w:r>
    </w:p>
    <w:p>
      <w:pPr>
        <w:pStyle w:val="Heading1"/>
        <w:spacing w:after="160" w:before="360"/>
      </w:pPr>
      <w:r>
        <w:rPr>
          <w:rFonts w:ascii="Arial" w:cs="Arial" w:eastAsia="Arial" w:hAnsi="Arial"/>
          <w:b/>
          <w:bCs/>
          <w:sz w:val="28"/>
          <w:szCs w:val="28"/>
        </w:rPr>
        <w:t xml:space="preserve">1. INTRODUCCIÓN</w:t>
      </w:r>
    </w:p>
    <w:p>
      <w:pPr>
        <w:spacing w:after="80" w:before="80" w:line="276"/>
        <w:jc w:val="both"/>
      </w:pPr>
      <w:r>
        <w:rPr>
          <w:rFonts w:ascii="Arial" w:cs="Arial" w:eastAsia="Arial" w:hAnsi="Arial"/>
          <w:sz w:val="24"/>
          <w:szCs w:val="24"/>
        </w:rPr>
        <w:t xml:space="preserve">Las redes inalámbricas constituyen uno de los pilares fundamentales de las telecomunicaciones modernas. A diferencia de las redes cableadas, estas infraestructuras utilizan el espectro radioeléctrico como medio de transmisión, lo que las dota de una flexibilidad y movilidad que resultan imprescindibles en el contexto de la sociedad de la información.</w:t>
      </w:r>
    </w:p>
    <w:p>
      <w:pPr>
        <w:spacing w:after="80" w:before="80" w:line="276"/>
        <w:jc w:val="both"/>
      </w:pPr>
      <w:r>
        <w:rPr>
          <w:rFonts w:ascii="Arial" w:cs="Arial" w:eastAsia="Arial" w:hAnsi="Arial"/>
          <w:sz w:val="24"/>
          <w:szCs w:val="24"/>
        </w:rPr>
        <w:t xml:space="preserve">El concepto de radiocomunicación móvil engloba todo sistema que permite el intercambio de información entre terminales en movimiento y una red fija o entre terminales móviles entre sí, empleando ondas electromagnéticas. Su evolución ha sido continua: desde los primeros sistemas analógicos de uso exclusivo en seguridad y emergencias, hasta las redes celulares de quinta generación capaces de soportar millones de conexiones simultáneas con latencias mínimas.</w:t>
      </w:r>
    </w:p>
    <w:p>
      <w:pPr>
        <w:spacing w:after="80" w:before="80" w:line="276"/>
        <w:jc w:val="both"/>
      </w:pPr>
      <w:r>
        <w:rPr>
          <w:rFonts w:ascii="Arial" w:cs="Arial" w:eastAsia="Arial" w:hAnsi="Arial"/>
          <w:sz w:val="24"/>
          <w:szCs w:val="24"/>
        </w:rPr>
        <w:t xml:space="preserve">Este tema aborda las principales tecnologías de radiocomunicaciones móviles, prestando especial atención a los sistemas de uso profesional —como la Radiotelefonía Móvil Privada y TETRA—, a la evolución de la telefonía celular digital y sus sucesivas generaciones, y a las soluciones de acceso inalámbrico fijo de banda ancha como LMDS, MMDS y MVDS.</w:t>
      </w:r>
    </w:p>
    <w:p>
      <w:r>
        <w:t xml:space="preserve"/>
      </w:r>
    </w:p>
    <w:p>
      <w:pPr>
        <w:pStyle w:val="Heading1"/>
        <w:spacing w:after="160" w:before="360"/>
      </w:pPr>
      <w:r>
        <w:rPr>
          <w:rFonts w:ascii="Arial" w:cs="Arial" w:eastAsia="Arial" w:hAnsi="Arial"/>
          <w:b/>
          <w:bCs/>
          <w:sz w:val="28"/>
          <w:szCs w:val="28"/>
        </w:rPr>
        <w:t xml:space="preserve">2. RADIOTELEFONÍA MÓVIL PRIVADA (PMR)</w:t>
      </w:r>
    </w:p>
    <w:p>
      <w:pPr>
        <w:pStyle w:val="Heading2"/>
        <w:spacing w:after="120" w:before="280"/>
      </w:pPr>
      <w:r>
        <w:rPr>
          <w:rFonts w:ascii="Arial" w:cs="Arial" w:eastAsia="Arial" w:hAnsi="Arial"/>
          <w:b/>
          <w:bCs/>
          <w:sz w:val="26"/>
          <w:szCs w:val="26"/>
        </w:rPr>
        <w:t xml:space="preserve">2.1. Concepto y características generales</w:t>
      </w:r>
    </w:p>
    <w:p>
      <w:pPr>
        <w:spacing w:after="80" w:before="80" w:line="276"/>
        <w:jc w:val="both"/>
      </w:pPr>
      <w:r>
        <w:rPr>
          <w:rFonts w:ascii="Arial" w:cs="Arial" w:eastAsia="Arial" w:hAnsi="Arial"/>
          <w:sz w:val="24"/>
          <w:szCs w:val="24"/>
        </w:rPr>
        <w:t xml:space="preserve">La Radiotelefonía Móvil Privada, conocida por sus siglas en inglés PMR (Private Mobile Radio), designa el conjunto de sistemas de comunicación radioeléctrica orientados al uso profesional por parte de organizaciones que requieren una infraestructura de comunicaciones independiente, robusta y controlada. A diferencia de la telefonía celular comercial, diseñada para el uso masivo de la población en general, los sistemas PMR operan de forma autónoma respecto a la red pública conmutada, proporcionando una infraestructura estratégica para servicios de seguridad, emergencias y coordinación industrial.</w:t>
      </w:r>
    </w:p>
    <w:p>
      <w:pPr>
        <w:spacing w:after="80" w:before="80" w:line="276"/>
        <w:jc w:val="both"/>
      </w:pPr>
      <w:r>
        <w:rPr>
          <w:rFonts w:ascii="Arial" w:cs="Arial" w:eastAsia="Arial" w:hAnsi="Arial"/>
          <w:sz w:val="24"/>
          <w:szCs w:val="24"/>
        </w:rPr>
        <w:t xml:space="preserve">La principal característica que distingue a los sistemas PMR es el denominado modo de despacho (dispatch), en el que un operador puede comunicarse simultáneamente con varios terminales mediante la pulsación de un único botón PTT (Push To Talk). Esta capacidad resulta fundamental en entornos operativos donde la coordinación en tiempo real es crítica, como cuerpos de policía, servicios de bomberos, flotas de transporte o grandes instalaciones industriales.</w:t>
      </w:r>
    </w:p>
    <w:p>
      <w:pPr>
        <w:pStyle w:val="Heading2"/>
        <w:spacing w:after="120" w:before="280"/>
      </w:pPr>
      <w:r>
        <w:rPr>
          <w:rFonts w:ascii="Arial" w:cs="Arial" w:eastAsia="Arial" w:hAnsi="Arial"/>
          <w:b/>
          <w:bCs/>
          <w:sz w:val="26"/>
          <w:szCs w:val="26"/>
        </w:rPr>
        <w:t xml:space="preserve">2.2. Evolución histórica y optimización del espectro</w:t>
      </w:r>
    </w:p>
    <w:p>
      <w:pPr>
        <w:spacing w:after="80" w:before="80" w:line="276"/>
        <w:jc w:val="both"/>
      </w:pPr>
      <w:r>
        <w:rPr>
          <w:rFonts w:ascii="Arial" w:cs="Arial" w:eastAsia="Arial" w:hAnsi="Arial"/>
          <w:sz w:val="24"/>
          <w:szCs w:val="24"/>
        </w:rPr>
        <w:t xml:space="preserve">Los orígenes de la radiotelefonía móvil se remontan a 1920, cuando el departamento de policía de Detroit realizó las primeras pruebas de radiocomunicación unidireccional en la banda de 2 MHz. Hacia 1940, la adopción generalizada de la Frecuencia Modulada (FM) estableció el estándar de estabilidad para los sistemas de seguridad en Estados Unidos, gracias a su mayor resistencia a las interferencias respecto a la modulación en amplitud.</w:t>
      </w:r>
    </w:p>
    <w:p>
      <w:pPr>
        <w:spacing w:after="80" w:before="80" w:line="276"/>
        <w:jc w:val="both"/>
      </w:pPr>
      <w:r>
        <w:rPr>
          <w:rFonts w:ascii="Arial" w:cs="Arial" w:eastAsia="Arial" w:hAnsi="Arial"/>
          <w:sz w:val="24"/>
          <w:szCs w:val="24"/>
        </w:rPr>
        <w:t xml:space="preserve">La evolución posterior de estos sistemas ha estado condicionada por dos factores determinantes: la escasez del espectro radioeléctrico disponible y la creciente demanda de prestaciones por parte de los usuarios profesionales. Un hito técnico decisivo fue la migración de canalizaciones de 25 kHz a 12,5 kHz, lo que permitió duplicar la capacidad espectral disponible, pasando de 40 a 80 canales por cada MHz, y optimizando así la densidad de usuarios en bandas de frecuencia limitadas.</w:t>
      </w:r>
    </w:p>
    <w:p>
      <w:pPr>
        <w:pStyle w:val="Heading2"/>
        <w:spacing w:after="120" w:before="280"/>
      </w:pPr>
      <w:r>
        <w:rPr>
          <w:rFonts w:ascii="Arial" w:cs="Arial" w:eastAsia="Arial" w:hAnsi="Arial"/>
          <w:b/>
          <w:bCs/>
          <w:sz w:val="26"/>
          <w:szCs w:val="26"/>
        </w:rPr>
        <w:t xml:space="preserve">2.3. Sistemas de señalización: CTCSS y Cinco Tonos</w:t>
      </w:r>
    </w:p>
    <w:p>
      <w:pPr>
        <w:spacing w:after="80" w:before="80" w:line="276"/>
        <w:jc w:val="both"/>
      </w:pPr>
      <w:r>
        <w:rPr>
          <w:rFonts w:ascii="Arial" w:cs="Arial" w:eastAsia="Arial" w:hAnsi="Arial"/>
          <w:sz w:val="24"/>
          <w:szCs w:val="24"/>
        </w:rPr>
        <w:t xml:space="preserve">Para permitir la convivencia de múltiples flotas o grupos de usuarios en una misma frecuencia portadora sin interferencias audibles, se desarrollaron sistemas de señalización selectiva. Los dos más relevantes son el sistema de subtonos continuos CTCSS (Continuous Tone-Coded Squelch System) y el sistema de cinco tonos.</w:t>
      </w:r>
    </w:p>
    <w:p>
      <w:pPr>
        <w:spacing w:after="80" w:before="80" w:line="276"/>
        <w:jc w:val="both"/>
      </w:pPr>
      <w:r>
        <w:rPr>
          <w:rFonts w:ascii="Arial" w:cs="Arial" w:eastAsia="Arial" w:hAnsi="Arial"/>
          <w:sz w:val="24"/>
          <w:szCs w:val="24"/>
        </w:rPr>
        <w:t xml:space="preserve">El CTCSS se basa en la emisión continua de una frecuencia inaudible, siempre inferior a 300 Hz, durante toda la transmisión. El receptor abre el audio únicamente si detecta y decodifica el subtono específico programado, ignorando las comunicaciones de otros grupos que utilicen la misma frecuencia con un subtono diferente. Su principal limitación reside en que no permite identificar al terminal emisor individual, ofreciendo únicamente privacidad básica de grupo y cierta protección frente a interferencias electromagnéticas. Existen variaciones regionales en los subtonos utilizados, con diferencias notables entre Latinoamérica y Europa.</w:t>
      </w:r>
    </w:p>
    <w:p>
      <w:pPr>
        <w:spacing w:after="80" w:before="80" w:line="276"/>
        <w:jc w:val="both"/>
      </w:pPr>
      <w:r>
        <w:rPr>
          <w:rFonts w:ascii="Arial" w:cs="Arial" w:eastAsia="Arial" w:hAnsi="Arial"/>
          <w:sz w:val="24"/>
          <w:szCs w:val="24"/>
        </w:rPr>
        <w:t xml:space="preserve">El sistema de cinco tonos, por su parte, emplea una secuencia de cinco tonos en la banda audible, entre 300 Hz y 3.300 Hz, con duraciones en torno a los 100 ms conforme a las especificaciones del CCIR. Este sistema permite la identificación unívoca de cada terminal mediante una secuencia numérica asignada por el gestor de la red, posibilitando comunicaciones privadas entre terminales específicos, llamadas de grupo, asignación de prioridades e incluso la interrogación de presencia de un terminal determinado. Está basado en normativas internacionales consolidadas como las del CCIR y el estándar alemán ZVEI.</w:t>
      </w:r>
    </w:p>
    <w:p>
      <w:r>
        <w:t xml:space="preserve"/>
      </w:r>
    </w:p>
    <w:p>
      <w:pPr>
        <w:pStyle w:val="Heading1"/>
        <w:spacing w:after="160" w:before="360"/>
      </w:pPr>
      <w:r>
        <w:rPr>
          <w:rFonts w:ascii="Arial" w:cs="Arial" w:eastAsia="Arial" w:hAnsi="Arial"/>
          <w:b/>
          <w:bCs/>
          <w:sz w:val="28"/>
          <w:szCs w:val="28"/>
        </w:rPr>
        <w:t xml:space="preserve">3. SISTEMAS TRUNKING</w:t>
      </w:r>
    </w:p>
    <w:p>
      <w:pPr>
        <w:pStyle w:val="Heading2"/>
        <w:spacing w:after="120" w:before="280"/>
      </w:pPr>
      <w:r>
        <w:rPr>
          <w:rFonts w:ascii="Arial" w:cs="Arial" w:eastAsia="Arial" w:hAnsi="Arial"/>
          <w:b/>
          <w:bCs/>
          <w:sz w:val="26"/>
          <w:szCs w:val="26"/>
        </w:rPr>
        <w:t xml:space="preserve">3.1. Concepto y principio de funcionamiento</w:t>
      </w:r>
    </w:p>
    <w:p>
      <w:pPr>
        <w:spacing w:after="80" w:before="80" w:line="276"/>
        <w:jc w:val="both"/>
      </w:pPr>
      <w:r>
        <w:rPr>
          <w:rFonts w:ascii="Arial" w:cs="Arial" w:eastAsia="Arial" w:hAnsi="Arial"/>
          <w:sz w:val="24"/>
          <w:szCs w:val="24"/>
        </w:rPr>
        <w:t xml:space="preserve">La tecnología Trunking, o acceso por línea troncal, supuso una revolución en la gestión del espectro radioeléctrico para comunicaciones profesionales. Su principio fundamental consiste en que las frecuencias disponibles no se asignan de forma permanente a un usuario o flota determinados, sino que forman un conjunto o pool compartido que se distribuye dinámicamente entre todos los usuarios del sistema según sus necesidades en cada momento.</w:t>
      </w:r>
    </w:p>
    <w:p>
      <w:pPr>
        <w:spacing w:after="80" w:before="80" w:line="276"/>
        <w:jc w:val="both"/>
      </w:pPr>
      <w:r>
        <w:rPr>
          <w:rFonts w:ascii="Arial" w:cs="Arial" w:eastAsia="Arial" w:hAnsi="Arial"/>
          <w:sz w:val="24"/>
          <w:szCs w:val="24"/>
        </w:rPr>
        <w:t xml:space="preserve">Mediante este mecanismo, cuando un usuario requiere comunicarse, el sistema le asigna automáticamente un canal libre del pool durante el tiempo que dure la comunicación. Al finalizar, el canal queda inmediatamente disponible para cualquier otro usuario. Este enfoque permite que una infraestructura con un número limitado de frecuencias soporte un número significativamente mayor de flotas y usuarios con una eficiencia estadística muy superior a la que ofrecen los sistemas de frecuencia fija.</w:t>
      </w:r>
    </w:p>
    <w:p>
      <w:pPr>
        <w:pStyle w:val="Heading2"/>
        <w:spacing w:after="120" w:before="280"/>
      </w:pPr>
      <w:r>
        <w:rPr>
          <w:rFonts w:ascii="Arial" w:cs="Arial" w:eastAsia="Arial" w:hAnsi="Arial"/>
          <w:b/>
          <w:bCs/>
          <w:sz w:val="26"/>
          <w:szCs w:val="26"/>
        </w:rPr>
        <w:t xml:space="preserve">3.2. Arquitectura bajo la norma MPT1327</w:t>
      </w:r>
    </w:p>
    <w:p>
      <w:pPr>
        <w:spacing w:after="80" w:before="80" w:line="276"/>
        <w:jc w:val="both"/>
      </w:pPr>
      <w:r>
        <w:rPr>
          <w:rFonts w:ascii="Arial" w:cs="Arial" w:eastAsia="Arial" w:hAnsi="Arial"/>
          <w:sz w:val="24"/>
          <w:szCs w:val="24"/>
        </w:rPr>
        <w:t xml:space="preserve">El estándar MPT1327, ampliamente adoptado en Europa, define la arquitectura y los protocolos de señalización de los sistemas Trunking analógicos. El sistema se articula en torno a una división funcional entre dos tipos de canales, gestionados por un centro de control inteligente.</w:t>
      </w:r>
    </w:p>
    <w:p>
      <w:pPr>
        <w:spacing w:after="80" w:before="80" w:line="276"/>
        <w:jc w:val="both"/>
      </w:pPr>
      <w:r>
        <w:rPr>
          <w:rFonts w:ascii="Arial" w:cs="Arial" w:eastAsia="Arial" w:hAnsi="Arial"/>
          <w:sz w:val="24"/>
          <w:szCs w:val="24"/>
        </w:rPr>
        <w:t xml:space="preserve">El canal de control es la vía de señalización permanente sobre la que los terminales se mantienen a la escucha para solicitar y recibir asignaciones de canales. La comunicación en este canal se realiza mediante modulación FFSK (Fast Frequency Shift Keying). A través de él se gestiona también la transmisión de datos como estados predefinidos, mensajes cortos y posiciones GPS, evitando la ocupación innecesaria de los recursos de voz. Los canales de tráfico, por su parte, son las frecuencias de voz asignadas dinámicamente por el controlador a cada comunicación. En el instante en que el usuario suelta el PTT, el canal queda liberado de inmediato para el sistema.</w:t>
      </w:r>
    </w:p>
    <w:p>
      <w:pPr>
        <w:pStyle w:val="Heading2"/>
        <w:spacing w:after="120" w:before="280"/>
      </w:pPr>
      <w:r>
        <w:rPr>
          <w:rFonts w:ascii="Arial" w:cs="Arial" w:eastAsia="Arial" w:hAnsi="Arial"/>
          <w:b/>
          <w:bCs/>
          <w:sz w:val="26"/>
          <w:szCs w:val="26"/>
        </w:rPr>
        <w:t xml:space="preserve">3.3. El servicio PAMR</w:t>
      </w:r>
    </w:p>
    <w:p>
      <w:pPr>
        <w:spacing w:after="80" w:before="80" w:line="276"/>
        <w:jc w:val="both"/>
      </w:pPr>
      <w:r>
        <w:rPr>
          <w:rFonts w:ascii="Arial" w:cs="Arial" w:eastAsia="Arial" w:hAnsi="Arial"/>
          <w:sz w:val="24"/>
          <w:szCs w:val="24"/>
        </w:rPr>
        <w:t xml:space="preserve">El servicio PAMR (Public Access Mobile Radio) representa la modalidad de Trunking orientada al mercado comercial. Bajo este modelo, empresas de logística, flotas de taxis, servicios de mantenimiento u otras organizaciones acceden a la infraestructura Trunking no como propietarios de la red, sino como clientes de un operador externo que pone la infraestructura a su disposición.</w:t>
      </w:r>
    </w:p>
    <w:p>
      <w:pPr>
        <w:spacing w:after="80" w:before="80" w:line="276"/>
        <w:jc w:val="both"/>
      </w:pPr>
      <w:r>
        <w:rPr>
          <w:rFonts w:ascii="Arial" w:cs="Arial" w:eastAsia="Arial" w:hAnsi="Arial"/>
          <w:sz w:val="24"/>
          <w:szCs w:val="24"/>
        </w:rPr>
        <w:t xml:space="preserve">La principal ventaja del PAMR reside en su estructura de tarifa plana, que resulta altamente competitiva frente a la telefonía celular tradicional, ya que elimina el sobrecoste por llamada o por mensaje. Esto permite un tráfico intensivo de coordinación y transmisión de datos GPS sin incertidumbre en la facturación. No obstante, la arquitectura analógica del Trunking MPT1327 presenta limitaciones en cuanto a la capacidad de transmisión de datos masivos y a los niveles de seguridad y cifrado, carencias que impulsaron el desarrollo del estándar digital TETRA.</w:t>
      </w:r>
    </w:p>
    <w:p>
      <w:r>
        <w:t xml:space="preserve"/>
      </w:r>
    </w:p>
    <w:p>
      <w:pPr>
        <w:pStyle w:val="Heading1"/>
        <w:spacing w:after="160" w:before="360"/>
      </w:pPr>
      <w:r>
        <w:rPr>
          <w:rFonts w:ascii="Arial" w:cs="Arial" w:eastAsia="Arial" w:hAnsi="Arial"/>
          <w:b/>
          <w:bCs/>
          <w:sz w:val="28"/>
          <w:szCs w:val="28"/>
        </w:rPr>
        <w:t xml:space="preserve">4. TETRA (TERRESTRIAL TRUNKED RADIO)</w:t>
      </w:r>
    </w:p>
    <w:p>
      <w:pPr>
        <w:pStyle w:val="Heading2"/>
        <w:spacing w:after="120" w:before="280"/>
      </w:pPr>
      <w:r>
        <w:rPr>
          <w:rFonts w:ascii="Arial" w:cs="Arial" w:eastAsia="Arial" w:hAnsi="Arial"/>
          <w:b/>
          <w:bCs/>
          <w:sz w:val="26"/>
          <w:szCs w:val="26"/>
        </w:rPr>
        <w:t xml:space="preserve">4.1. Origen y propósito</w:t>
      </w:r>
    </w:p>
    <w:p>
      <w:pPr>
        <w:spacing w:after="80" w:before="80" w:line="276"/>
        <w:jc w:val="both"/>
      </w:pPr>
      <w:r>
        <w:rPr>
          <w:rFonts w:ascii="Arial" w:cs="Arial" w:eastAsia="Arial" w:hAnsi="Arial"/>
          <w:sz w:val="24"/>
          <w:szCs w:val="24"/>
        </w:rPr>
        <w:t xml:space="preserve">TETRA, acrónimo de Terrestrial Trunked Radio —aunque también se ha denominado Trans European Trunked Radio en sus orígenes—, es el estándar de radiocomunicaciones digitales de misión crítica desarrollado por el ETSI (European Telecommunications Standards Institute) con el objetivo de unificar y modernizar las comunicaciones de los servicios de seguridad pública, emergencias y sectores de infraestructuras críticas en Europa.</w:t>
      </w:r>
    </w:p>
    <w:p>
      <w:pPr>
        <w:spacing w:after="80" w:before="80" w:line="276"/>
        <w:jc w:val="both"/>
      </w:pPr>
      <w:r>
        <w:rPr>
          <w:rFonts w:ascii="Arial" w:cs="Arial" w:eastAsia="Arial" w:hAnsi="Arial"/>
          <w:sz w:val="24"/>
          <w:szCs w:val="24"/>
        </w:rPr>
        <w:t xml:space="preserve">El desarrollo de TETRA respondió a la necesidad de superar las limitaciones de los sistemas PMR analógicos y del Trunking MPT1327: insuficiente capacidad espectral, ausencia de cifrado nativo, limitadas capacidades de datos y falta de interoperabilidad entre los sistemas propietarios de distintos fabricantes que coexistían en los países europeos. TETRA se convirtió así en el estándar de referencia para las comunicaciones de policía, bomberos, ambulancias, cuerpos militares y operadores de redes de transporte y energía.</w:t>
      </w:r>
    </w:p>
    <w:p>
      <w:pPr>
        <w:pStyle w:val="Heading2"/>
        <w:spacing w:after="120" w:before="280"/>
      </w:pPr>
      <w:r>
        <w:rPr>
          <w:rFonts w:ascii="Arial" w:cs="Arial" w:eastAsia="Arial" w:hAnsi="Arial"/>
          <w:b/>
          <w:bCs/>
          <w:sz w:val="26"/>
          <w:szCs w:val="26"/>
        </w:rPr>
        <w:t xml:space="preserve">4.2. Arquitectura técnica: TDMA sobre 25 kHz</w:t>
      </w:r>
    </w:p>
    <w:p>
      <w:pPr>
        <w:spacing w:after="80" w:before="80" w:line="276"/>
        <w:jc w:val="both"/>
      </w:pPr>
      <w:r>
        <w:rPr>
          <w:rFonts w:ascii="Arial" w:cs="Arial" w:eastAsia="Arial" w:hAnsi="Arial"/>
          <w:sz w:val="24"/>
          <w:szCs w:val="24"/>
        </w:rPr>
        <w:t xml:space="preserve">Desde el punto de vista técnico, TETRA opera en Europa principalmente en las bandas de 380-400 MHz y 410-430 MHz, reservadas para servicios de seguridad pública y emergencias. Su eficiencia espectral se fundamenta en la tecnología TDMA (Time Division Multiple Access), mediante la cual cada portadora de 25 kHz se divide en cuatro ranuras temporales o slots. De este modo, es posible mantener cuatro comunicaciones de voz simultáneas sobre una única portadora, cuadruplicando la eficiencia espectral respecto a los sistemas analógicos precedentes.</w:t>
      </w:r>
    </w:p>
    <w:p>
      <w:pPr>
        <w:spacing w:after="80" w:before="80" w:line="276"/>
        <w:jc w:val="both"/>
      </w:pPr>
      <w:r>
        <w:rPr>
          <w:rFonts w:ascii="Arial" w:cs="Arial" w:eastAsia="Arial" w:hAnsi="Arial"/>
          <w:sz w:val="24"/>
          <w:szCs w:val="24"/>
        </w:rPr>
        <w:t xml:space="preserve">La codificación de voz se realiza mediante el algoritmo ACELP (Algebraic Code Excited Linear Prediction), que proporciona una calidad de audio digital superior a la de los sistemas analógicos PMR convencionales, con capacidad añadida para la cancelación de ruido ambiental. En cuanto a la transmisión de datos, TETRA ofrece velocidades que oscilan entre los 7.200 bps utilizando un único slot y los 28.800 bps cuando se asignan los cuatro slots de una portadora, con soporte tanto para la transmisión por circuitos como por paquetes.</w:t>
      </w:r>
    </w:p>
    <w:p>
      <w:pPr>
        <w:pStyle w:val="Heading2"/>
        <w:spacing w:after="120" w:before="280"/>
      </w:pPr>
      <w:r>
        <w:rPr>
          <w:rFonts w:ascii="Arial" w:cs="Arial" w:eastAsia="Arial" w:hAnsi="Arial"/>
          <w:b/>
          <w:bCs/>
          <w:sz w:val="26"/>
          <w:szCs w:val="26"/>
        </w:rPr>
        <w:t xml:space="preserve">4.3. Modos de operación</w:t>
      </w:r>
    </w:p>
    <w:p>
      <w:pPr>
        <w:spacing w:after="80" w:before="80" w:line="276"/>
        <w:jc w:val="both"/>
      </w:pPr>
      <w:r>
        <w:rPr>
          <w:rFonts w:ascii="Arial" w:cs="Arial" w:eastAsia="Arial" w:hAnsi="Arial"/>
          <w:sz w:val="24"/>
          <w:szCs w:val="24"/>
        </w:rPr>
        <w:t xml:space="preserve">TETRA contempla dos modos de operación principales. El modo TMO (Trunked Mode Operation) es el modo normal de funcionamiento, en el que los terminales operan a través de la infraestructura de red, con toda la funcionalidad de asignación dinámica de canales, gestión de grupos y servicios de datos disponible.</w:t>
      </w:r>
    </w:p>
    <w:p>
      <w:pPr>
        <w:spacing w:after="80" w:before="80" w:line="276"/>
        <w:jc w:val="both"/>
      </w:pPr>
      <w:r>
        <w:rPr>
          <w:rFonts w:ascii="Arial" w:cs="Arial" w:eastAsia="Arial" w:hAnsi="Arial"/>
          <w:sz w:val="24"/>
          <w:szCs w:val="24"/>
        </w:rPr>
        <w:t xml:space="preserve">El modo DMO (Direct Mode Operation) permite la comunicación directa entre terminales sin necesidad de infraestructura de red intermedia, empleando una frecuencia directa predefinida. Este modo resulta especialmente valioso en situaciones de emergencia donde la infraestructura no está disponible —por fallo, destrucción o ausencia de cobertura— como túneles, sótanos o zonas de catástrofe. Una capacidad adicional del modo DMO es la posibilidad de que un terminal actúe como repetidor, retransmitiendo las comunicaciones de terminales que no tienen cobertura directa hacia la red, extendiendo así el alcance de la misma.</w:t>
      </w:r>
    </w:p>
    <w:p>
      <w:pPr>
        <w:pStyle w:val="Heading2"/>
        <w:spacing w:after="120" w:before="280"/>
      </w:pPr>
      <w:r>
        <w:rPr>
          <w:rFonts w:ascii="Arial" w:cs="Arial" w:eastAsia="Arial" w:hAnsi="Arial"/>
          <w:b/>
          <w:bCs/>
          <w:sz w:val="26"/>
          <w:szCs w:val="26"/>
        </w:rPr>
        <w:t xml:space="preserve">4.4. Funcionalidades críticas</w:t>
      </w:r>
    </w:p>
    <w:p>
      <w:pPr>
        <w:spacing w:after="80" w:before="80" w:line="276"/>
        <w:jc w:val="both"/>
      </w:pPr>
      <w:r>
        <w:rPr>
          <w:rFonts w:ascii="Arial" w:cs="Arial" w:eastAsia="Arial" w:hAnsi="Arial"/>
          <w:sz w:val="24"/>
          <w:szCs w:val="24"/>
        </w:rPr>
        <w:t xml:space="preserve">Entre las funcionalidades que distinguen a TETRA como sistema de misión crítica, destacan el cifrado nativo de voz y datos. TETRA integra algoritmos de encriptado de extremo a extremo, garantizando la confidencialidad de las comunicaciones incluso en caso de interceptación, lo que resulta imprescindible para los servicios de seguridad y defensa.</w:t>
      </w:r>
    </w:p>
    <w:p>
      <w:pPr>
        <w:spacing w:after="80" w:before="80" w:line="276"/>
        <w:jc w:val="both"/>
      </w:pPr>
      <w:r>
        <w:rPr>
          <w:rFonts w:ascii="Arial" w:cs="Arial" w:eastAsia="Arial" w:hAnsi="Arial"/>
          <w:sz w:val="24"/>
          <w:szCs w:val="24"/>
        </w:rPr>
        <w:t xml:space="preserve">La doble escucha o dual watch permite al terminal monitorizar simultáneamente un grupo en modo DMO y estar disponible para recibir llamadas prioritarias de la red en modo TMO, garantizando la disponibilidad operativa en todo momento. La conectividad IP se implementa a través del PEI (Peripheral Equipment Interface), que permite utilizar el terminal TETRA como módems IP, integrándose con redes de datos corporativas. Por último, las llamadas de emergencia tienen prioridad absoluta en la asignación de recursos de la red, desplazando si fuera necesario a otras comunicaciones en curso.</w:t>
      </w:r>
    </w:p>
    <w:p>
      <w:r>
        <w:t xml:space="preserve"/>
      </w:r>
    </w:p>
    <w:p>
      <w:pPr>
        <w:pStyle w:val="Heading1"/>
        <w:spacing w:after="160" w:before="360"/>
      </w:pPr>
      <w:r>
        <w:rPr>
          <w:rFonts w:ascii="Arial" w:cs="Arial" w:eastAsia="Arial" w:hAnsi="Arial"/>
          <w:b/>
          <w:bCs/>
          <w:sz w:val="28"/>
          <w:szCs w:val="28"/>
        </w:rPr>
        <w:t xml:space="preserve">5. SISTEMAS DE TELEFONÍA MÓVIL DIGITAL. GENERACIONES</w:t>
      </w:r>
    </w:p>
    <w:p>
      <w:pPr>
        <w:pStyle w:val="Heading2"/>
        <w:spacing w:after="120" w:before="280"/>
      </w:pPr>
      <w:r>
        <w:rPr>
          <w:rFonts w:ascii="Arial" w:cs="Arial" w:eastAsia="Arial" w:hAnsi="Arial"/>
          <w:b/>
          <w:bCs/>
          <w:sz w:val="26"/>
          <w:szCs w:val="26"/>
        </w:rPr>
        <w:t xml:space="preserve">5.1. Introducción y concepto de generación</w:t>
      </w:r>
    </w:p>
    <w:p>
      <w:pPr>
        <w:spacing w:after="80" w:before="80" w:line="276"/>
        <w:jc w:val="both"/>
      </w:pPr>
      <w:r>
        <w:rPr>
          <w:rFonts w:ascii="Arial" w:cs="Arial" w:eastAsia="Arial" w:hAnsi="Arial"/>
          <w:sz w:val="24"/>
          <w:szCs w:val="24"/>
        </w:rPr>
        <w:t xml:space="preserve">La telefonía móvil digital ha experimentado desde la década de 1980 una evolución extraordinaria, articulada en sucesivas generaciones tecnológicas que han ampliado progresivamente las capacidades de las redes, desde el servicio básico de voz hasta la conectividad de banda ancha ultrarrápida y el soporte para el Internet de las Cosas. Cada nueva generación ha implicado no sólo mejoras en las velocidades de transmisión, sino cambios fundamentales en la arquitectura de red, los protocolos de acceso al medio y los servicios soportados.</w:t>
      </w:r>
    </w:p>
    <w:p>
      <w:pPr>
        <w:pStyle w:val="Heading2"/>
        <w:spacing w:after="120" w:before="280"/>
      </w:pPr>
      <w:r>
        <w:rPr>
          <w:rFonts w:ascii="Arial" w:cs="Arial" w:eastAsia="Arial" w:hAnsi="Arial"/>
          <w:b/>
          <w:bCs/>
          <w:sz w:val="26"/>
          <w:szCs w:val="26"/>
        </w:rPr>
        <w:t xml:space="preserve">5.2. Primera generación (1G): sistemas analógicos</w:t>
      </w:r>
    </w:p>
    <w:p>
      <w:pPr>
        <w:spacing w:after="80" w:before="80" w:line="276"/>
        <w:jc w:val="both"/>
      </w:pPr>
      <w:r>
        <w:rPr>
          <w:rFonts w:ascii="Arial" w:cs="Arial" w:eastAsia="Arial" w:hAnsi="Arial"/>
          <w:sz w:val="24"/>
          <w:szCs w:val="24"/>
        </w:rPr>
        <w:t xml:space="preserve">Los sistemas de primera generación, desplegados a partir de finales de los años setenta y durante los ochenta, se basaban en la transmisión analógica de voz mediante modulación de frecuencia. Los estándares más relevantes fueron el AMPS (Advanced Mobile Phone System) en Norteamérica, el NMT (Nordic Mobile Telephone) en los países nórdicos y el TACS (Total Access Communication System) en el Reino Unido y España. Estos sistemas utilizaban la conmutación de circuitos y carecían de cualquier mecanismo de seguridad o cifrado, lo que los hacía vulnerables a las escuchas. Su principal limitación era la eficiencia espectral reducida y la imposibilidad de transmitir datos de forma nativa.</w:t>
      </w:r>
    </w:p>
    <w:p>
      <w:pPr>
        <w:pStyle w:val="Heading2"/>
        <w:spacing w:after="120" w:before="280"/>
      </w:pPr>
      <w:r>
        <w:rPr>
          <w:rFonts w:ascii="Arial" w:cs="Arial" w:eastAsia="Arial" w:hAnsi="Arial"/>
          <w:b/>
          <w:bCs/>
          <w:sz w:val="26"/>
          <w:szCs w:val="26"/>
        </w:rPr>
        <w:t xml:space="preserve">5.3. Segunda generación (2G): digitalización y GSM</w:t>
      </w:r>
    </w:p>
    <w:p>
      <w:pPr>
        <w:spacing w:after="80" w:before="80" w:line="276"/>
        <w:jc w:val="both"/>
      </w:pPr>
      <w:r>
        <w:rPr>
          <w:rFonts w:ascii="Arial" w:cs="Arial" w:eastAsia="Arial" w:hAnsi="Arial"/>
          <w:sz w:val="24"/>
          <w:szCs w:val="24"/>
        </w:rPr>
        <w:t xml:space="preserve">La segunda generación supuso la transición definitiva hacia la digitalización. El estándar GSM (Global System for Mobile Communications), desarrollado en Europa bajo los auspicios del ETSI y desplegado comercialmente a partir de 1991, se convirtió en el sistema dominante a escala mundial. GSM emplea la tecnología TDMA combinada con FDMA para el acceso al medio, con portadoras de 200 kHz divididas en ocho ranuras temporales, operando principalmente en las bandas de 900 MHz y 1.800 MHz en Europa.</w:t>
      </w:r>
    </w:p>
    <w:p>
      <w:pPr>
        <w:spacing w:after="80" w:before="80" w:line="276"/>
        <w:jc w:val="both"/>
      </w:pPr>
      <w:r>
        <w:rPr>
          <w:rFonts w:ascii="Arial" w:cs="Arial" w:eastAsia="Arial" w:hAnsi="Arial"/>
          <w:sz w:val="24"/>
          <w:szCs w:val="24"/>
        </w:rPr>
        <w:t xml:space="preserve">GSM introdujo servicios como el SMS (Short Message Service) y la transmisión de datos a velocidades de hasta 9,6 kbps mediante el protocolo CSD (Circuit Switched Data). Su evolución natural dio lugar a tecnologías intermedias de generación 2,5G: GPRS (General Packet Radio Service), que introdujo la conmutación de paquetes con velocidades teóricas de hasta 171,2 kbps, y EDGE (Enhanced Data rates for GSM Evolution), que mediante modulación 8-PSK alcanzó velocidades de hasta 384 kbps. En paralelo, el estándar IS-95 o cdmaOne, basado en CDMA (Code Division Multiple Access), fue el referente de 2G en Norteamérica.</w:t>
      </w:r>
    </w:p>
    <w:p>
      <w:pPr>
        <w:pStyle w:val="Heading2"/>
        <w:spacing w:after="120" w:before="280"/>
      </w:pPr>
      <w:r>
        <w:rPr>
          <w:rFonts w:ascii="Arial" w:cs="Arial" w:eastAsia="Arial" w:hAnsi="Arial"/>
          <w:b/>
          <w:bCs/>
          <w:sz w:val="26"/>
          <w:szCs w:val="26"/>
        </w:rPr>
        <w:t xml:space="preserve">5.4. Tercera generación (3G): banda ancha móvil</w:t>
      </w:r>
    </w:p>
    <w:p>
      <w:pPr>
        <w:spacing w:after="80" w:before="80" w:line="276"/>
        <w:jc w:val="both"/>
      </w:pPr>
      <w:r>
        <w:rPr>
          <w:rFonts w:ascii="Arial" w:cs="Arial" w:eastAsia="Arial" w:hAnsi="Arial"/>
          <w:sz w:val="24"/>
          <w:szCs w:val="24"/>
        </w:rPr>
        <w:t xml:space="preserve">La tercera generación, definida por la ITU bajo el nombre IMT-2000 (International Mobile Telecommunications 2000), supuso la introducción de la banda ancha móvil con velocidades suficientes para la navegación por Internet, el correo electrónico con archivos adjuntos y la videoconferencia. El estándar dominante fue UMTS (Universal Mobile Telecommunications System), basado en la tecnología W-CDMA (Wideband CDMA), con velocidades iniciales de hasta 384 kbps y, tras la evolución hacia HSDPA y HSUPA (conocidas conjuntamente como HSPA), de varios megabits por segundo. En paralelo, CDMA2000 fue el estándar de 3G adoptado en Norteamérica y Asia.</w:t>
      </w:r>
    </w:p>
    <w:p>
      <w:pPr>
        <w:spacing w:after="80" w:before="80" w:line="276"/>
        <w:jc w:val="both"/>
      </w:pPr>
      <w:r>
        <w:rPr>
          <w:rFonts w:ascii="Arial" w:cs="Arial" w:eastAsia="Arial" w:hAnsi="Arial"/>
          <w:sz w:val="24"/>
          <w:szCs w:val="24"/>
        </w:rPr>
        <w:t xml:space="preserve">El 3G marcó también el inicio de la convergencia entre las redes de telecomunicaciones y la infraestructura de Internet, con la introducción de núcleos de red con capacidades IP y la separación funcional entre el plano de usuario y el plano de control.</w:t>
      </w:r>
    </w:p>
    <w:p>
      <w:pPr>
        <w:pStyle w:val="Heading2"/>
        <w:spacing w:after="120" w:before="280"/>
      </w:pPr>
      <w:r>
        <w:rPr>
          <w:rFonts w:ascii="Arial" w:cs="Arial" w:eastAsia="Arial" w:hAnsi="Arial"/>
          <w:b/>
          <w:bCs/>
          <w:sz w:val="26"/>
          <w:szCs w:val="26"/>
        </w:rPr>
        <w:t xml:space="preserve">5.5. Cuarta generación (4G): LTE y arquitectura todo-IP</w:t>
      </w:r>
    </w:p>
    <w:p>
      <w:pPr>
        <w:spacing w:after="80" w:before="80" w:line="276"/>
        <w:jc w:val="both"/>
      </w:pPr>
      <w:r>
        <w:rPr>
          <w:rFonts w:ascii="Arial" w:cs="Arial" w:eastAsia="Arial" w:hAnsi="Arial"/>
          <w:sz w:val="24"/>
          <w:szCs w:val="24"/>
        </w:rPr>
        <w:t xml:space="preserve">La cuarta generación, representada fundamentalmente por el estándar LTE (Long Term Evolution) y su evolución LTE-Advanced, supuso la adopción de una arquitectura completamente basada en la conmutación de paquetes IP, eliminando definitivamente la conmutación de circuitos incluso para la voz, que pasó a cursarse sobre IP mediante VoLTE (Voice over LTE). LTE emplea la modulación OFDMA (Orthogonal Frequency Division Multiple Access) en el enlace descendente y SC-FDMA en el enlace ascendente, con velocidades teóricas de hasta 150 Mbps en LTE y superiores al Gbps en LTE-Advanced mediante técnicas de agregación de portadoras y MIMO (Multiple Input Multiple Output).</w:t>
      </w:r>
    </w:p>
    <w:p>
      <w:pPr>
        <w:spacing w:after="80" w:before="80" w:line="276"/>
        <w:jc w:val="both"/>
      </w:pPr>
      <w:r>
        <w:rPr>
          <w:rFonts w:ascii="Arial" w:cs="Arial" w:eastAsia="Arial" w:hAnsi="Arial"/>
          <w:sz w:val="24"/>
          <w:szCs w:val="24"/>
        </w:rPr>
        <w:t xml:space="preserve">La arquitectura del núcleo de red LTE, denominada EPC (Evolved Packet Core), está completamente virtualizada sobre IP y separa claramente los planos de usuario, control y gestión. Esta arquitectura sentó las bases para las redes de quinta generación.</w:t>
      </w:r>
    </w:p>
    <w:p>
      <w:pPr>
        <w:pStyle w:val="Heading2"/>
        <w:spacing w:after="120" w:before="280"/>
      </w:pPr>
      <w:r>
        <w:rPr>
          <w:rFonts w:ascii="Arial" w:cs="Arial" w:eastAsia="Arial" w:hAnsi="Arial"/>
          <w:b/>
          <w:bCs/>
          <w:sz w:val="26"/>
          <w:szCs w:val="26"/>
        </w:rPr>
        <w:t xml:space="preserve">5.6. Quinta generación (5G): ultra-baja latencia y masificación IoT</w:t>
      </w:r>
    </w:p>
    <w:p>
      <w:pPr>
        <w:spacing w:after="80" w:before="80" w:line="276"/>
        <w:jc w:val="both"/>
      </w:pPr>
      <w:r>
        <w:rPr>
          <w:rFonts w:ascii="Arial" w:cs="Arial" w:eastAsia="Arial" w:hAnsi="Arial"/>
          <w:sz w:val="24"/>
          <w:szCs w:val="24"/>
        </w:rPr>
        <w:t xml:space="preserve">La quinta generación, cuya estandarización ha sido liderada por el 3GPP a partir de la Release 15, plantea tres grandes escenarios de uso: eMBB (enhanced Mobile BroadBand), con velocidades de pico superiores a 20 Gbps; URLLC (Ultra-Reliable Low Latency Communications), con latencias inferiores al milisegundo para aplicaciones críticas como la conducción autónoma o la cirugía remota; y mMTC (massive Machine Type Communications), orientado a soportar densidades de hasta un millón de dispositivos IoT por kilómetro cuadrado.</w:t>
      </w:r>
    </w:p>
    <w:p>
      <w:pPr>
        <w:spacing w:after="80" w:before="80" w:line="276"/>
        <w:jc w:val="both"/>
      </w:pPr>
      <w:r>
        <w:rPr>
          <w:rFonts w:ascii="Arial" w:cs="Arial" w:eastAsia="Arial" w:hAnsi="Arial"/>
          <w:sz w:val="24"/>
          <w:szCs w:val="24"/>
        </w:rPr>
        <w:t xml:space="preserve">Técnicamente, el 5G introduce el uso de bandas de ondas milimétricas (mmWave, por encima de 24 GHz) junto a las bandas sub-6 GHz, antenas masivas MIMO con formación de haz (beamforming), una arquitectura de red de acceso virtualizada (vRAN) y un núcleo de red cloud-nativo basado en microservicios (5G Core). La virtualización de funciones de red (NFV) y la definición de red por software (SDN) son elementos estructurales de esta generación.</w:t>
      </w:r>
    </w:p>
    <w:p>
      <w:pPr>
        <w:pStyle w:val="Heading2"/>
        <w:spacing w:after="120" w:before="280"/>
      </w:pPr>
      <w:r>
        <w:rPr>
          <w:rFonts w:ascii="Arial" w:cs="Arial" w:eastAsia="Arial" w:hAnsi="Arial"/>
          <w:b/>
          <w:bCs/>
          <w:sz w:val="26"/>
          <w:szCs w:val="26"/>
        </w:rPr>
        <w:t xml:space="preserve">5.7. Sexta generación (6G): perspectivas y horizonte tecnológico</w:t>
      </w:r>
    </w:p>
    <w:p>
      <w:pPr>
        <w:spacing w:after="80" w:before="80" w:line="276"/>
        <w:jc w:val="both"/>
      </w:pPr>
      <w:r>
        <w:rPr>
          <w:rFonts w:ascii="Arial" w:cs="Arial" w:eastAsia="Arial" w:hAnsi="Arial"/>
          <w:sz w:val="24"/>
          <w:szCs w:val="24"/>
        </w:rPr>
        <w:t xml:space="preserve">El 6G, cuyo despliegue se prevé en torno a 2030, no constituye una simple evolución incremental del 5G, sino una transformación radical de los paradigmas de comunicación. La integración de la inteligencia artificial en todos los planos de la red —desde el acceso hasta el núcleo— es un elemento definitorio, al igual que el empleo de bandas de Terahercios (THz), comprendidas entre 100 GHz y 3 THz, que permitirán alcanzar velocidades teóricas del orden del terabit por segundo y latencias sub-milisegundo.</w:t>
      </w:r>
    </w:p>
    <w:p>
      <w:pPr>
        <w:spacing w:after="80" w:before="80" w:line="276"/>
        <w:jc w:val="both"/>
      </w:pPr>
      <w:r>
        <w:rPr>
          <w:rFonts w:ascii="Arial" w:cs="Arial" w:eastAsia="Arial" w:hAnsi="Arial"/>
          <w:sz w:val="24"/>
          <w:szCs w:val="24"/>
        </w:rPr>
        <w:t xml:space="preserve">El uso de frecuencias THz impone importantes desafíos técnicos, en particular la elevada absorción atmosférica y la sensibilidad extrema a la humedad, que limitan significativamente el alcance de las celdas. Ello obliga a concebir arquitecturas sin celdas (cell-free), en las que el terminal se conecta de forma ubicua a la Red de Acceso Radio (RAN) sin asociarse a una antena específica. Entre las aplicaciones que habilitará el 6G se contemplan las comunicaciones holográficas tridimensionales, la realidad extendida inmersiva, las VLC (Visible Light Communications) mediante LEDs de alta frecuencia y sistemas avanzados de recolección de energía para alimentar redes masivas de microsensores.</w:t>
      </w:r>
    </w:p>
    <w:p>
      <w:r>
        <w:t xml:space="preserve"/>
      </w:r>
    </w:p>
    <w:p>
      <w:pPr>
        <w:pStyle w:val="Heading1"/>
        <w:spacing w:after="160" w:before="360"/>
      </w:pPr>
      <w:r>
        <w:rPr>
          <w:rFonts w:ascii="Arial" w:cs="Arial" w:eastAsia="Arial" w:hAnsi="Arial"/>
          <w:b/>
          <w:bCs/>
          <w:sz w:val="28"/>
          <w:szCs w:val="28"/>
        </w:rPr>
        <w:t xml:space="preserve">6. REDES DE ACCESO INALÁMBRICO DE BANDA ANCHA</w:t>
      </w:r>
    </w:p>
    <w:p>
      <w:pPr>
        <w:pStyle w:val="Heading2"/>
        <w:spacing w:after="120" w:before="280"/>
      </w:pPr>
      <w:r>
        <w:rPr>
          <w:rFonts w:ascii="Arial" w:cs="Arial" w:eastAsia="Arial" w:hAnsi="Arial"/>
          <w:b/>
          <w:bCs/>
          <w:sz w:val="26"/>
          <w:szCs w:val="26"/>
        </w:rPr>
        <w:t xml:space="preserve">6.1. Introducción: la problemática de la última milla</w:t>
      </w:r>
    </w:p>
    <w:p>
      <w:pPr>
        <w:spacing w:after="80" w:before="80" w:line="276"/>
        <w:jc w:val="both"/>
      </w:pPr>
      <w:r>
        <w:rPr>
          <w:rFonts w:ascii="Arial" w:cs="Arial" w:eastAsia="Arial" w:hAnsi="Arial"/>
          <w:sz w:val="24"/>
          <w:szCs w:val="24"/>
        </w:rPr>
        <w:t xml:space="preserve">Con la liberalización del sector de las telecomunicaciones en Europa durante los años noventa, surgió la necesidad técnica y comercial de superar el cuello de botella que representaba el par de cobre telefónico en el segmento de acceso, la denominada última milla. Las redes de acceso inalámbrico fijo de banda ancha, conocidas genéricamente como WLL (Wireless Local Loop), surgieron como alternativa al despliegue de infraestructura de cable, ofreciendo una solución más rápida y económica para dotar a empresas y particulares de conectividad de banda ancha.</w:t>
      </w:r>
    </w:p>
    <w:p>
      <w:pPr>
        <w:spacing w:after="80" w:before="80" w:line="276"/>
        <w:jc w:val="both"/>
      </w:pPr>
      <w:r>
        <w:rPr>
          <w:rFonts w:ascii="Arial" w:cs="Arial" w:eastAsia="Arial" w:hAnsi="Arial"/>
          <w:sz w:val="24"/>
          <w:szCs w:val="24"/>
        </w:rPr>
        <w:t xml:space="preserve">En este ámbito, es necesario establecer una distinción terminológica precisa. El término LMDS (Local Multipoint Distribution Service) hace referencia propiamente a los sistemas estadounidenses que operan en la banda de 28 GHz. En España y en el contexto europeo, la denominación correcta para los sistemas equivalentes que operan en torno a los 26 GHz es Fixed Wireless Access (FWA). La expresión WLL se reserva habitualmente para los sistemas de 3,5 GHz. Los sistemas MMDS (Multichannel Multipoint Distribution Service) operan en la banda de 2,5-2,7 GHz, mientras que el MVDS (Multipoint Video Distribution System) es el equivalente europeo de alta frecuencia, en torno a los 40 GHz.</w:t>
      </w:r>
    </w:p>
    <w:p>
      <w:pPr>
        <w:pStyle w:val="Heading2"/>
        <w:spacing w:after="120" w:before="280"/>
      </w:pPr>
      <w:r>
        <w:rPr>
          <w:rFonts w:ascii="Arial" w:cs="Arial" w:eastAsia="Arial" w:hAnsi="Arial"/>
          <w:b/>
          <w:bCs/>
          <w:sz w:val="26"/>
          <w:szCs w:val="26"/>
        </w:rPr>
        <w:t xml:space="preserve">6.2. LMDS (Local Multipoint Distribution Service)</w:t>
      </w:r>
    </w:p>
    <w:p>
      <w:pPr>
        <w:pStyle w:val="Heading3"/>
        <w:spacing w:after="100" w:before="200"/>
      </w:pPr>
      <w:r>
        <w:rPr>
          <w:rFonts w:ascii="Arial" w:cs="Arial" w:eastAsia="Arial" w:hAnsi="Arial"/>
          <w:b/>
          <w:bCs/>
          <w:i/>
          <w:iCs/>
          <w:sz w:val="24"/>
          <w:szCs w:val="24"/>
        </w:rPr>
        <w:t xml:space="preserve">6.2.1. Origen e historia</w:t>
      </w:r>
    </w:p>
    <w:p>
      <w:pPr>
        <w:spacing w:after="80" w:before="80" w:line="276"/>
        <w:jc w:val="both"/>
      </w:pPr>
      <w:r>
        <w:rPr>
          <w:rFonts w:ascii="Arial" w:cs="Arial" w:eastAsia="Arial" w:hAnsi="Arial"/>
          <w:sz w:val="24"/>
          <w:szCs w:val="24"/>
        </w:rPr>
        <w:t xml:space="preserve">El origen de la tecnología LMDS se debe al ingeniero Bernard Bossard, quien aplicó los conocimientos adquiridos durante su trabajo en el ámbito de los misiles Patriot —empleados en la Guerra del Golfo de 1991— para desarrollar un sistema de distribución de vídeo punto a multipunto en la banda de 28 GHz. Bossard fundó la empresa Cellular Vision en Nueva York en 1991, demostrando que la utilización de frecuencias muy altas con baja potencia de transmisión era idónea para enlaces de corto alcance, desafiando la creencia predominante de que las microondas sólo eran útiles para enlaces punto a punto dedicados.</w:t>
      </w:r>
    </w:p>
    <w:p>
      <w:pPr>
        <w:pStyle w:val="Heading3"/>
        <w:spacing w:after="100" w:before="200"/>
      </w:pPr>
      <w:r>
        <w:rPr>
          <w:rFonts w:ascii="Arial" w:cs="Arial" w:eastAsia="Arial" w:hAnsi="Arial"/>
          <w:b/>
          <w:bCs/>
          <w:i/>
          <w:iCs/>
          <w:sz w:val="24"/>
          <w:szCs w:val="24"/>
        </w:rPr>
        <w:t xml:space="preserve">6.2.2. Características técnicas</w:t>
      </w:r>
    </w:p>
    <w:p>
      <w:pPr>
        <w:spacing w:after="80" w:before="80" w:line="276"/>
        <w:jc w:val="both"/>
      </w:pPr>
      <w:r>
        <w:rPr>
          <w:rFonts w:ascii="Arial" w:cs="Arial" w:eastAsia="Arial" w:hAnsi="Arial"/>
          <w:sz w:val="24"/>
          <w:szCs w:val="24"/>
        </w:rPr>
        <w:t xml:space="preserve">El LMDS opera en la banda de 28 GHz (en Europa, los sistemas equivalentes utilizan la banda de 26 GHz) y emplea una arquitectura punto a multipunto en la que una estación base central distribuye la señal a múltiples terminales de usuario dentro de su área de cobertura. El alcance operativo es limitado, con un máximo de aproximadamente 3 km en condiciones favorables, debido a la elevada atenuación de las señales en estas frecuencias y a la necesidad de visión directa (Line of Sight, LoS) entre la estación base y el terminal.</w:t>
      </w:r>
    </w:p>
    <w:p>
      <w:pPr>
        <w:spacing w:after="80" w:before="80" w:line="276"/>
        <w:jc w:val="both"/>
      </w:pPr>
      <w:r>
        <w:rPr>
          <w:rFonts w:ascii="Arial" w:cs="Arial" w:eastAsia="Arial" w:hAnsi="Arial"/>
          <w:sz w:val="24"/>
          <w:szCs w:val="24"/>
        </w:rPr>
        <w:t xml:space="preserve">La estación base se conecta a la red troncal mediante fibra óptica o radioenlaces de alta capacidad (por ejemplo, enlaces STM-1 o STM-16). El terminal de usuario se compone de una Unidad Exterior (ODU, Outdoor Unit), que aloja la antena de radiofrecuencia y la electrónica de conversión, y una Unidad Interior (IDU, Indoor Unit), que demodula la señal a una Frecuencia Intermedia (IF) en torno a los 300 MHz antes de conectarla al router o centralita del cliente. La capacidad de datos ofrecida es superior a los 16 Mbps, con sistemas punto a punto que pueden alcanzar hasta 640 Mbps para grandes corporaciones o proveedores de Internet.</w:t>
      </w:r>
    </w:p>
    <w:p>
      <w:pPr>
        <w:pStyle w:val="Heading2"/>
        <w:spacing w:after="120" w:before="280"/>
      </w:pPr>
      <w:r>
        <w:rPr>
          <w:rFonts w:ascii="Arial" w:cs="Arial" w:eastAsia="Arial" w:hAnsi="Arial"/>
          <w:b/>
          <w:bCs/>
          <w:sz w:val="26"/>
          <w:szCs w:val="26"/>
        </w:rPr>
        <w:t xml:space="preserve">6.3. MMDS (Multichannel Multipoint Distribution Service)</w:t>
      </w:r>
    </w:p>
    <w:p>
      <w:pPr>
        <w:spacing w:after="80" w:before="80" w:line="276"/>
        <w:jc w:val="both"/>
      </w:pPr>
      <w:r>
        <w:rPr>
          <w:rFonts w:ascii="Arial" w:cs="Arial" w:eastAsia="Arial" w:hAnsi="Arial"/>
          <w:sz w:val="24"/>
          <w:szCs w:val="24"/>
        </w:rPr>
        <w:t xml:space="preserve">El MMDS, denominado en ocasiones como wireless cable, es un sistema de distribución multipunto que opera en la banda de frecuencias comprendida entre 2,5 y 2,7 GHz, asignada a este servicio en Estados Unidos por la FCC. A diferencia del LMDS, el MMDS aprovecha las mejores condiciones de propagación de las frecuencias más bajas, lo que le permite alcanzar distancias de hasta 50 km desde la estación base, sin que sea siempre imprescindible la visión directa (aunque su rendimiento mejora sensiblemente con ella).</w:t>
      </w:r>
    </w:p>
    <w:p>
      <w:pPr>
        <w:spacing w:after="80" w:before="80" w:line="276"/>
        <w:jc w:val="both"/>
      </w:pPr>
      <w:r>
        <w:rPr>
          <w:rFonts w:ascii="Arial" w:cs="Arial" w:eastAsia="Arial" w:hAnsi="Arial"/>
          <w:sz w:val="24"/>
          <w:szCs w:val="24"/>
        </w:rPr>
        <w:t xml:space="preserve">El MMDS fue concebido originalmente para la distribución de señales de televisión por cable de forma inalámbrica, ofreciendo hasta 33 canales analógicos. Posteriormente, con la evolución hacia la transmisión digital mediante el estándar MPEG-2 y la adopción de modulaciones más eficientes como QAM (Quadrature Amplitude Modulation), se amplió su capacidad y se orientó también hacia la provisión de servicios de acceso a Internet de banda ancha. Su mayor alcance lo hace especialmente adecuado para dar cobertura a zonas rurales o suburbanas donde el despliegue de cable físico resulta económicamente inviable. La capacidad típica de estos sistemas, en su versión de banda ancha bidireccional, ronda los 10 Mbps por sector.</w:t>
      </w:r>
    </w:p>
    <w:p>
      <w:pPr>
        <w:pStyle w:val="Heading2"/>
        <w:spacing w:after="120" w:before="280"/>
      </w:pPr>
      <w:r>
        <w:rPr>
          <w:rFonts w:ascii="Arial" w:cs="Arial" w:eastAsia="Arial" w:hAnsi="Arial"/>
          <w:b/>
          <w:bCs/>
          <w:sz w:val="26"/>
          <w:szCs w:val="26"/>
        </w:rPr>
        <w:t xml:space="preserve">6.4. MVDS (Multipoint Video Distribution System)</w:t>
      </w:r>
    </w:p>
    <w:p>
      <w:pPr>
        <w:spacing w:after="80" w:before="80" w:line="276"/>
        <w:jc w:val="both"/>
      </w:pPr>
      <w:r>
        <w:rPr>
          <w:rFonts w:ascii="Arial" w:cs="Arial" w:eastAsia="Arial" w:hAnsi="Arial"/>
          <w:sz w:val="24"/>
          <w:szCs w:val="24"/>
        </w:rPr>
        <w:t xml:space="preserve">El MVDS es el sistema equivalente al MMDS concebido para el contexto europeo y estandarizado por el ETSI. Opera en la banda de 40,5 a 42,5 GHz, lo que supone frecuencias significativamente más elevadas que las de sus análogos americanos. Esta elección de banda ofrece una gran disponibilidad de espectro, lo que permite una elevada capacidad de canales, pero impone también las restricciones propias de las frecuencias milimétricas: alcance reducido, mayor sensibilidad a las condiciones atmosféricas y lluvia (rain fade), y exigencia de visión directa entre el transmisor y el receptor.</w:t>
      </w:r>
    </w:p>
    <w:p>
      <w:pPr>
        <w:spacing w:after="80" w:before="80" w:line="276"/>
        <w:jc w:val="both"/>
      </w:pPr>
      <w:r>
        <w:rPr>
          <w:rFonts w:ascii="Arial" w:cs="Arial" w:eastAsia="Arial" w:hAnsi="Arial"/>
          <w:sz w:val="24"/>
          <w:szCs w:val="24"/>
        </w:rPr>
        <w:t xml:space="preserve">El MVDS fue diseñado principalmente para la distribución de televisión digital de pago en entornos urbanos y suburbanos densos, donde la elevada ganancia de las antenas directivas y la corta distancia entre la estación base y los receptores mitigan las pérdidas de propagación. Su arquitectura es punto a multipunto, con una estación transmisora central que distribuye la señal a los terminales de los abonados situados dentro de su zona de cobertura. Aunque la expansión del MVDS en Europa fue limitada, condicionada por el desarrollo paralelo de plataformas de cable y satélite y por el coste de los equipos receptores en frecuencias tan elevadas, constituyó una alternativa tecnológica relevante para operadores sin infraestructura de cable.</w:t>
      </w:r>
    </w:p>
    <w:p>
      <w:pPr>
        <w:pStyle w:val="Heading2"/>
        <w:spacing w:after="120" w:before="280"/>
      </w:pPr>
      <w:r>
        <w:rPr>
          <w:rFonts w:ascii="Arial" w:cs="Arial" w:eastAsia="Arial" w:hAnsi="Arial"/>
          <w:b/>
          <w:bCs/>
          <w:sz w:val="26"/>
          <w:szCs w:val="26"/>
        </w:rPr>
        <w:t xml:space="preserve">6.5. Arquitectura general y modelos de servicio</w:t>
      </w:r>
    </w:p>
    <w:p>
      <w:pPr>
        <w:spacing w:after="80" w:before="80" w:line="276"/>
        <w:jc w:val="both"/>
      </w:pPr>
      <w:r>
        <w:rPr>
          <w:rFonts w:ascii="Arial" w:cs="Arial" w:eastAsia="Arial" w:hAnsi="Arial"/>
          <w:sz w:val="24"/>
          <w:szCs w:val="24"/>
        </w:rPr>
        <w:t xml:space="preserve">Desde el punto de vista arquitectónico, todos los sistemas de acceso inalámbrico fijo de banda ancha comparten una estructura similar basada en estaciones base interconectadas mediante una red troncal de fibra o radioenlaces de alta capacidad, y terminales de usuario compuestos por unidad exterior e interior. La diferenciación fundamental entre los modelos de servicio disponibles reside en la topología del enlace.</w:t>
      </w:r>
    </w:p>
    <w:p>
      <w:pPr>
        <w:spacing w:after="80" w:before="80" w:line="276"/>
        <w:jc w:val="both"/>
      </w:pPr>
      <w:r>
        <w:rPr>
          <w:rFonts w:ascii="Arial" w:cs="Arial" w:eastAsia="Arial" w:hAnsi="Arial"/>
          <w:sz w:val="24"/>
          <w:szCs w:val="24"/>
        </w:rPr>
        <w:t xml:space="preserve">Los sistemas punto a punto (PaP) establecen un enlace dedicado entre dos estaciones, ofreciendo capacidades de hasta 640 Mbps y proporcionando el ancho de banda garantizado que demandan las grandes corporaciones y los proveedores de servicios de Internet. Los sistemas punto a multipunto (PmP) distribuyen la capacidad disponible entre todos los terminales de usuario que comparten el sector de la estación base, con velocidades típicas por edificio de alrededor de 2 Mbps, convirtiéndose en la solución óptima en términos de coste-beneficio para pequeñas y medianas empresas.</w:t>
      </w:r>
    </w:p>
    <w:p>
      <w:pPr>
        <w:pStyle w:val="Heading2"/>
        <w:spacing w:after="120" w:before="280"/>
      </w:pPr>
      <w:r>
        <w:rPr>
          <w:rFonts w:ascii="Arial" w:cs="Arial" w:eastAsia="Arial" w:hAnsi="Arial"/>
          <w:b/>
          <w:bCs/>
          <w:sz w:val="26"/>
          <w:szCs w:val="26"/>
        </w:rPr>
        <w:t xml:space="preserve">6.6. Limitaciones y condicionantes de despliegue</w:t>
      </w:r>
    </w:p>
    <w:p>
      <w:pPr>
        <w:spacing w:after="80" w:before="80" w:line="276"/>
        <w:jc w:val="both"/>
      </w:pPr>
      <w:r>
        <w:rPr>
          <w:rFonts w:ascii="Arial" w:cs="Arial" w:eastAsia="Arial" w:hAnsi="Arial"/>
          <w:sz w:val="24"/>
          <w:szCs w:val="24"/>
        </w:rPr>
        <w:t xml:space="preserve">El despliegue masivo de los sistemas de acceso inalámbrico fijo se ha encontrado con dos barreras fundamentales. La primera es la exigencia de visión directa (Line of Sight), especialmente acusada en los sistemas que operan por encima de los 10 GHz, que genera zonas no iluminadas por la presencia de obstáculos físicos como edificios, árboles u orografía, limitando la cobertura efectiva en entornos urbanos densamente construidos.</w:t>
      </w:r>
    </w:p>
    <w:p>
      <w:pPr>
        <w:spacing w:after="80" w:before="80" w:line="276"/>
        <w:jc w:val="both"/>
      </w:pPr>
      <w:r>
        <w:rPr>
          <w:rFonts w:ascii="Arial" w:cs="Arial" w:eastAsia="Arial" w:hAnsi="Arial"/>
          <w:sz w:val="24"/>
          <w:szCs w:val="24"/>
        </w:rPr>
        <w:t xml:space="preserve">La segunda barrera es el elevado coste de las licencias de espectro. En el mercado español, por ejemplo, el precio de las licencias para el uso de las bandas de 26 GHz y 3,5 GHz experimentó incrementos extraordinarios en los procesos de licitación, llegando en algunos casos a multiplicarse por catorce en un único ejercicio, lo que comprometió la viabilidad económica de muchos operadores y ralentizó el despliegue efectivo de estas redes. A estos factores se suma la competencia del despliegue acelerado de la fibra óptica hasta el hogar (FTTH), que ha relegado a los sistemas de acceso inalámbrico fijo a un papel complementario en zonas donde el tendido de fibra no es económicamente viable.</w:t>
      </w:r>
    </w:p>
    <w:p>
      <w:r>
        <w:t xml:space="preserve"/>
      </w:r>
    </w:p>
    <w:p>
      <w:pPr>
        <w:pStyle w:val="Heading1"/>
        <w:spacing w:after="160" w:before="360"/>
      </w:pPr>
      <w:r>
        <w:rPr>
          <w:rFonts w:ascii="Arial" w:cs="Arial" w:eastAsia="Arial" w:hAnsi="Arial"/>
          <w:b/>
          <w:bCs/>
          <w:sz w:val="28"/>
          <w:szCs w:val="28"/>
        </w:rPr>
        <w:t xml:space="preserve">7. CONCLUSIÓN</w:t>
      </w:r>
    </w:p>
    <w:p>
      <w:pPr>
        <w:spacing w:after="80" w:before="80" w:line="276"/>
        <w:jc w:val="both"/>
      </w:pPr>
      <w:r>
        <w:rPr>
          <w:rFonts w:ascii="Arial" w:cs="Arial" w:eastAsia="Arial" w:hAnsi="Arial"/>
          <w:sz w:val="24"/>
          <w:szCs w:val="24"/>
        </w:rPr>
        <w:t xml:space="preserve">Las redes inalámbricas de radiocomunicaciones móviles representan uno de los sectores tecnológicos de mayor impacto en la sociedad contemporánea. Desde los sistemas PMR y el Trunking, que garantizan las comunicaciones críticas de los servicios de emergencias, hasta las redes celulares de quinta generación, que constituyen la infraestructura digital de la economía global, la evolución de estas tecnologías ha estado marcada por la búsqueda permanente de una mayor eficiencia espectral, capacidad de datos, seguridad y fiabilidad.</w:t>
      </w:r>
    </w:p>
    <w:p>
      <w:pPr>
        <w:spacing w:after="80" w:before="80" w:line="276"/>
        <w:jc w:val="both"/>
      </w:pPr>
      <w:r>
        <w:rPr>
          <w:rFonts w:ascii="Arial" w:cs="Arial" w:eastAsia="Arial" w:hAnsi="Arial"/>
          <w:sz w:val="24"/>
          <w:szCs w:val="24"/>
        </w:rPr>
        <w:t xml:space="preserve">El estándar TETRA ha consolidado un ecosistema interoperable de comunicaciones de misión crítica que continúa siendo la referencia para los servicios de seguridad pública en Europa. Las sucesivas generaciones de telefonía móvil han transformado los terminales en plataformas de acceso universal a la información. Los sistemas de acceso inalámbrico fijo, como el LMDS, el MMDS y el MVDS, han aportado soluciones de banda ancha para la última milla, particularmente en entornos donde el despliegue de infraestructura física resulta inviable.</w:t>
      </w:r>
    </w:p>
    <w:p>
      <w:pPr>
        <w:spacing w:after="80" w:before="80" w:line="276"/>
        <w:jc w:val="both"/>
      </w:pPr>
      <w:r>
        <w:rPr>
          <w:rFonts w:ascii="Arial" w:cs="Arial" w:eastAsia="Arial" w:hAnsi="Arial"/>
          <w:sz w:val="24"/>
          <w:szCs w:val="24"/>
        </w:rPr>
        <w:t xml:space="preserve">El horizonte tecnológico del 6G, con su integración de inteligencia artificial, frecuencias de Terahercios y arquitecturas sin celdas, apunta hacia una conectividad ubicua que difuminará las fronteras entre las comunicaciones móviles, fijas y satelitales, consolidando un entorno de telecomunicaciones verdaderamente global y sin interrupciones.</w:t>
      </w:r>
    </w:p>
    <w:sectPr>
      <w:footerReference w:type="default" r:id="rId7"/>
      <w:pgSz w:w="11906" w:h="16838" w:orient="portrait"/>
      <w:pgMar w:top="1418" w:right="1134" w:bottom="1418"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2026-05-28T17:54:07.998Z</dcterms:created>
  <dcterms:modified xsi:type="dcterms:W3CDTF">2026-05-28T17:54:07.998Z</dcterms:modified>
</cp:coreProperties>
</file>

<file path=docProps/custom.xml><?xml version="1.0" encoding="utf-8"?>
<Properties xmlns="http://schemas.openxmlformats.org/officeDocument/2006/custom-properties" xmlns:vt="http://schemas.openxmlformats.org/officeDocument/2006/docPropsVTypes"/>
</file>