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color w:val="808080"/>
          <w:sz w:val="22"/>
          <w:szCs w:val="22"/>
        </w:rPr>
        <w:t xml:space="preserve">TEMA 59</w:t>
      </w:r>
    </w:p>
    <w:p>
      <w:pPr>
        <w:spacing w:after="120"/>
        <w:jc w:val="center"/>
      </w:pPr>
      <w:r>
        <w:rPr>
          <w:b/>
          <w:bCs/>
          <w:color w:val="1F3864"/>
          <w:sz w:val="32"/>
          <w:szCs w:val="32"/>
        </w:rPr>
        <w:t xml:space="preserve">Control de la ejecución de los trabajos. Evaluación del rendimiento. Planificación de la capacidad. Análisis de la carga. Herramientas y técnicas utilizables</w:t>
      </w:r>
    </w:p>
    <w:p>
      <w:pPr>
        <w:pBdr>
          <w:bottom w:val="single" w:color="1F3864" w:sz="12" w:space="8"/>
        </w:pBdr>
        <w:spacing w:after="360"/>
        <w:jc w:val="center"/>
      </w:pPr>
      <w:r>
        <w:rPr>
          <w:sz w:val="4"/>
          <w:szCs w:val="4"/>
        </w:rPr>
        <w:t xml:space="preserve"> </w:t>
      </w:r>
    </w:p>
    <w:p>
      <w:pPr>
        <w:pStyle w:val="Heading1"/>
        <w:spacing w:after="200" w:before="360"/>
      </w:pPr>
      <w:r>
        <w:t xml:space="preserve">Introducción</w:t>
      </w:r>
    </w:p>
    <w:p>
      <w:pPr>
        <w:spacing w:after="200" w:line="360"/>
        <w:jc w:val="both"/>
      </w:pPr>
      <w:r>
        <w:rPr>
          <w:sz w:val="24"/>
          <w:szCs w:val="24"/>
        </w:rPr>
        <w:t xml:space="preserve">La gestión del rendimiento y de la capacidad constituye uno de los pilares estratégicos sobre los que se sostiene la operación de cualquier sistema de información moderno. Lejos de tratarse de tareas técnicas aisladas, ambas disciplinas garantizan el cumplimiento de los Acuerdos de Nivel de Servicio (SLA), aseguran la continuidad operativa de las organizaciones —con especial relevancia en el ámbito de la Administración Pública— y permiten un uso eficiente de los recursos y de los fondos públicos invertidos en infraestructura tecnológica.</w:t>
      </w:r>
    </w:p>
    <w:p>
      <w:pPr>
        <w:spacing w:after="200" w:line="360"/>
        <w:jc w:val="both"/>
      </w:pPr>
      <w:r>
        <w:rPr>
          <w:sz w:val="24"/>
          <w:szCs w:val="24"/>
        </w:rPr>
        <w:t xml:space="preserve">El presente tema desarrolla, de forma integrada, los conceptos de control de la ejecución de los trabajos, evaluación del rendimiento, planificación de la capacidad y análisis de la carga, completando la exposición con el estudio de la teoría de colas como soporte matemático imprescindible para modelar el comportamiento de los sistemas ante demandas aleatorias, y con una revisión de las principales herramientas y técnicas empleadas en este ámbito.</w:t>
      </w:r>
    </w:p>
    <w:p>
      <w:pPr>
        <w:spacing w:after="200" w:line="360"/>
        <w:jc w:val="both"/>
      </w:pPr>
      <w:r>
        <w:rPr>
          <w:sz w:val="24"/>
          <w:szCs w:val="24"/>
        </w:rPr>
        <w:t xml:space="preserve">El hilo conductor del tema puede resumirse en una idea central: para gestionar bien un sistema de información es necesario, en primer lugar, controlar y observar su funcionamiento; en segundo lugar, evaluar su rendimiento con indicadores objetivos; en tercer lugar, anticipar las necesidades futuras mediante la planificación de la capacidad; y, por último, disponer de modelos analíticos —como la teoría de colas— y de herramientas adecuadas que conviertan toda esta información en decisiones de mejora continua.</w:t>
      </w:r>
    </w:p>
    <w:p>
      <w:pPr>
        <w:pStyle w:val="Heading1"/>
        <w:spacing w:after="200" w:before="360"/>
      </w:pPr>
      <w:r>
        <w:t xml:space="preserve">1. Control de la Ejecución de los Trabajos</w:t>
      </w:r>
    </w:p>
    <w:p>
      <w:pPr>
        <w:spacing w:after="200" w:line="360"/>
        <w:jc w:val="both"/>
      </w:pPr>
      <w:r>
        <w:rPr>
          <w:sz w:val="24"/>
          <w:szCs w:val="24"/>
        </w:rPr>
        <w:t xml:space="preserve">El control de la ejecución de los trabajos es la actividad operativa mediante la cual el centro de proceso de datos supervisa, en tiempo real o cuasi real, el desarrollo de los procesos y trabajos que se ejecutan sobre la infraestructura, con el fin de garantizar que se completan correctamente, en los plazos previstos y con el consumo de recursos esperado.</w:t>
      </w:r>
    </w:p>
    <w:p>
      <w:pPr>
        <w:spacing w:after="200" w:line="360"/>
        <w:jc w:val="both"/>
      </w:pPr>
      <w:r>
        <w:rPr>
          <w:sz w:val="24"/>
          <w:szCs w:val="24"/>
        </w:rPr>
        <w:t xml:space="preserve">Esta función se apoya tradicionalmente en sistemas de gestión de trabajos por lotes (job scheduling) y en consolas de operación que permiten conocer en cada momento el estado de las colas de trabajos, las incidencias producidas y los recursos consumidos. El control de la ejecución no se limita a constatar si un trabajo ha finalizado, sino que exige registrar y analizar toda la información relativa a tiempos de espera, tiempos de proceso, prioridades asignadas y eventuales errores, de manera que dicha información pueda alimentar después los procesos de evaluación del rendimiento y planificación de la capacidad.</w:t>
      </w:r>
    </w:p>
    <w:p>
      <w:pPr>
        <w:pStyle w:val="Heading2"/>
        <w:spacing w:after="160" w:before="280"/>
      </w:pPr>
      <w:r>
        <w:t xml:space="preserve">1.1. Objetivos del control de la ejecución</w:t>
      </w:r>
    </w:p>
    <w:p>
      <w:pPr>
        <w:spacing w:after="200" w:line="360"/>
        <w:jc w:val="both"/>
      </w:pPr>
      <w:r>
        <w:rPr>
          <w:sz w:val="24"/>
          <w:szCs w:val="24"/>
        </w:rPr>
        <w:t xml:space="preserve">El control de la ejecución de los trabajos persigue, fundamentalmente, tres objetivos complementarios. En primer lugar, asegurar la correcta finalización de los procesos planificados, detectando de forma temprana cualquier desviación, bloqueo o error. En segundo lugar, optimizar el uso de los recursos disponibles mediante una adecuada asignación de prioridades y de ventanas temporales de ejecución, evitando situaciones de saturación. En tercer lugar, generar un histórico fiable de información operativa que sirva de base objetiva para la toma de decisiones posteriores, tanto en la resolución de incidencias como en la planificación estratégica de la capacidad.</w:t>
      </w:r>
    </w:p>
    <w:p>
      <w:pPr>
        <w:pStyle w:val="Heading2"/>
        <w:spacing w:after="160" w:before="280"/>
      </w:pPr>
      <w:r>
        <w:t xml:space="preserve">1.2. Relación con la gestión de la capacidad</w:t>
      </w:r>
    </w:p>
    <w:p>
      <w:pPr>
        <w:spacing w:after="200" w:line="360"/>
        <w:jc w:val="both"/>
      </w:pPr>
      <w:r>
        <w:rPr>
          <w:sz w:val="24"/>
          <w:szCs w:val="24"/>
        </w:rPr>
        <w:t xml:space="preserve">El control de la ejecución de los trabajos constituye el primer escalón de toda la cadena de gestión de la capacidad, puesto que proporciona los datos brutos —tiempos de ejecución, consumo de CPU, memoria, entrada/salida y red— que después serán objeto de evaluación. Sin un control riguroso y sistemático de la ejecución, cualquier intento posterior de evaluar el rendimiento o de planificar la capacidad carecería de la base empírica necesaria para resultar fiable.</w:t>
      </w:r>
    </w:p>
    <w:p>
      <w:pPr>
        <w:pStyle w:val="Heading1"/>
        <w:spacing w:after="200" w:before="360"/>
      </w:pPr>
      <w:r>
        <w:t xml:space="preserve">2. Evaluación del Rendimiento</w:t>
      </w:r>
    </w:p>
    <w:p>
      <w:pPr>
        <w:spacing w:after="200" w:line="360"/>
        <w:jc w:val="both"/>
      </w:pPr>
      <w:r>
        <w:rPr>
          <w:sz w:val="24"/>
          <w:szCs w:val="24"/>
        </w:rPr>
        <w:t xml:space="preserve">La gestión del rendimiento es una disciplina de carácter operativo y presente, centrada en la supervisión y en la asignación de los recursos existentes con el objetivo de optimizar su uso para cumplir, de manera inmediata, los objetivos de servicio comprometidos en los SLA. Se trata, por tanto, de un enfoque orientado al corto plazo que actúa sobre la infraestructura ya desplegada.</w:t>
      </w:r>
    </w:p>
    <w:p>
      <w:pPr>
        <w:spacing w:after="200" w:line="360"/>
        <w:jc w:val="both"/>
      </w:pPr>
      <w:r>
        <w:rPr>
          <w:sz w:val="24"/>
          <w:szCs w:val="24"/>
        </w:rPr>
        <w:t xml:space="preserve">Tradicionalmente, la gestión del rendimiento se ha abordado desde un enfoque reactivo, consistente en ajustar los recursos una vez que se ha producido una degradación del servicio. Sin embargo, la tendencia actual y la buena práctica recomendada por los principales marcos de referencia del sector —entre ellos IBM e ITIL— apuntan hacia un enfoque proactivo. Este enfoque permite comprender el impacto real de la carga sobre la infraestructura actual y prever cómo evolucionará dicha carga en el tiempo, lo que posibilita anticiparse a la saturación de los sistemas y al incumplimiento de los SLA antes de que estos problemas lleguen a materializarse, simplificando además la operación diaria gracias a la reducción del número de incidencias.</w:t>
      </w:r>
    </w:p>
    <w:p>
      <w:pPr>
        <w:pStyle w:val="Heading2"/>
        <w:spacing w:after="160" w:before="280"/>
      </w:pPr>
      <w:r>
        <w:t xml:space="preserve">2.1. Indicadores clave de desempeño (KPI)</w:t>
      </w:r>
    </w:p>
    <w:p>
      <w:pPr>
        <w:spacing w:after="200" w:line="360"/>
        <w:jc w:val="both"/>
      </w:pPr>
      <w:r>
        <w:rPr>
          <w:sz w:val="24"/>
          <w:szCs w:val="24"/>
        </w:rPr>
        <w:t xml:space="preserve">La evaluación objetiva del rendimiento exige el uso de indicadores clave de desempeño (KPI) que permitan transformar datos operativos en información de gestión. Estos indicadores pueden agruparse en cuatro grandes bloques temáticos, que conviene conocer con detalle de cara a la aplicación práctica en cualquier departamento de tecnologías de la información.</w:t>
      </w:r>
    </w:p>
    <w:p>
      <w:pPr>
        <w:pStyle w:val="Heading3"/>
        <w:spacing w:after="120" w:before="220"/>
      </w:pPr>
      <w:r>
        <w:t xml:space="preserve">2.1.1. Métricas del servicio de asistencia (Help Desk)</w:t>
      </w:r>
    </w:p>
    <w:p>
      <w:pPr>
        <w:pStyle w:val="ListParagraph"/>
        <w:numPr>
          <w:ilvl w:val="0"/>
          <w:numId w:val="2"/>
        </w:numPr>
        <w:spacing w:after="120" w:line="340"/>
        <w:jc w:val="both"/>
      </w:pPr>
      <w:r>
        <w:rPr>
          <w:b/>
          <w:bCs/>
          <w:sz w:val="24"/>
          <w:szCs w:val="24"/>
        </w:rPr>
        <w:t xml:space="preserve">Resolución en la primera llamada (FCR): </w:t>
      </w:r>
      <w:r>
        <w:rPr>
          <w:sz w:val="24"/>
          <w:szCs w:val="24"/>
        </w:rPr>
        <w:t xml:space="preserve">porcentaje de incidencias o solicitudes resueltas en el contacto inicial con el usuario. Un valor elevado de este indicador reduce los costes operativos y mejora notablemente la experiencia percibida por el usuario.</w:t>
      </w:r>
    </w:p>
    <w:p>
      <w:pPr>
        <w:pStyle w:val="ListParagraph"/>
        <w:numPr>
          <w:ilvl w:val="0"/>
          <w:numId w:val="2"/>
        </w:numPr>
        <w:spacing w:after="120" w:line="340"/>
        <w:jc w:val="both"/>
      </w:pPr>
      <w:r>
        <w:rPr>
          <w:b/>
          <w:bCs/>
          <w:sz w:val="24"/>
          <w:szCs w:val="24"/>
        </w:rPr>
        <w:t xml:space="preserve">Tiempo de resolución de tickets: </w:t>
      </w:r>
      <w:r>
        <w:rPr>
          <w:sz w:val="24"/>
          <w:szCs w:val="24"/>
        </w:rPr>
        <w:t xml:space="preserve">mide la agilidad del equipo de soporte. Un incremento injustificado de este tiempo es un síntoma claro de que debe revisarse la planificación de la capacidad humana del servicio.</w:t>
      </w:r>
    </w:p>
    <w:p>
      <w:pPr>
        <w:pStyle w:val="ListParagraph"/>
        <w:numPr>
          <w:ilvl w:val="0"/>
          <w:numId w:val="2"/>
        </w:numPr>
        <w:spacing w:after="120" w:line="340"/>
        <w:jc w:val="both"/>
      </w:pPr>
      <w:r>
        <w:rPr>
          <w:b/>
          <w:bCs/>
          <w:sz w:val="24"/>
          <w:szCs w:val="24"/>
        </w:rPr>
        <w:t xml:space="preserve">Satisfacción del cliente (CSAT): </w:t>
      </w:r>
      <w:r>
        <w:rPr>
          <w:sz w:val="24"/>
          <w:szCs w:val="24"/>
        </w:rPr>
        <w:t xml:space="preserve">nivel de conformidad del usuario, habitualmente recogido mediante encuestas, y que resulta fundamental para validar la calidad percibida del servicio prestado.</w:t>
      </w:r>
    </w:p>
    <w:p>
      <w:pPr>
        <w:pStyle w:val="Heading3"/>
        <w:spacing w:after="120" w:before="220"/>
      </w:pPr>
      <w:r>
        <w:t xml:space="preserve">2.1.2. Rendimiento de red y sistemas</w:t>
      </w:r>
    </w:p>
    <w:p>
      <w:pPr>
        <w:pStyle w:val="ListParagraph"/>
        <w:numPr>
          <w:ilvl w:val="0"/>
          <w:numId w:val="2"/>
        </w:numPr>
        <w:spacing w:after="120" w:line="340"/>
        <w:jc w:val="both"/>
      </w:pPr>
      <w:r>
        <w:rPr>
          <w:b/>
          <w:bCs/>
          <w:sz w:val="24"/>
          <w:szCs w:val="24"/>
        </w:rPr>
        <w:t xml:space="preserve">Tiempo de actividad (uptime): </w:t>
      </w:r>
      <w:r>
        <w:rPr>
          <w:sz w:val="24"/>
          <w:szCs w:val="24"/>
        </w:rPr>
        <w:t xml:space="preserve">porcentaje de disponibilidad del servicio. Si bien la industria privada aspira a porcentajes de disponibilidad muy elevados, en la Administración Pública este indicador se considera el principal síntoma de la resiliencia del sistema.</w:t>
      </w:r>
    </w:p>
    <w:p>
      <w:pPr>
        <w:pStyle w:val="ListParagraph"/>
        <w:numPr>
          <w:ilvl w:val="0"/>
          <w:numId w:val="2"/>
        </w:numPr>
        <w:spacing w:after="120" w:line="340"/>
        <w:jc w:val="both"/>
      </w:pPr>
      <w:r>
        <w:rPr>
          <w:b/>
          <w:bCs/>
          <w:sz w:val="24"/>
          <w:szCs w:val="24"/>
        </w:rPr>
        <w:t xml:space="preserve">Latencia de la red: </w:t>
      </w:r>
      <w:r>
        <w:rPr>
          <w:sz w:val="24"/>
          <w:szCs w:val="24"/>
        </w:rPr>
        <w:t xml:space="preserve">retraso producido en la transmisión de la información. Una congestión matemática del sistema, es decir, un coeficiente de utilización elevado, se manifiesta de forma directa como un incremento de la latencia percibida por el usuario.</w:t>
      </w:r>
    </w:p>
    <w:p>
      <w:pPr>
        <w:pStyle w:val="ListParagraph"/>
        <w:numPr>
          <w:ilvl w:val="0"/>
          <w:numId w:val="2"/>
        </w:numPr>
        <w:spacing w:after="120" w:line="340"/>
        <w:jc w:val="both"/>
      </w:pPr>
      <w:r>
        <w:rPr>
          <w:b/>
          <w:bCs/>
          <w:sz w:val="24"/>
          <w:szCs w:val="24"/>
        </w:rPr>
        <w:t xml:space="preserve">MTBF (tiempo medio entre fallos): </w:t>
      </w:r>
      <w:r>
        <w:rPr>
          <w:sz w:val="24"/>
          <w:szCs w:val="24"/>
        </w:rPr>
        <w:t xml:space="preserve">indica el grado de fiabilidad de la infraestructura y permite planificar el mantenimiento preventivo, evitando así caídas de servicio no planificadas.</w:t>
      </w:r>
    </w:p>
    <w:p>
      <w:pPr>
        <w:pStyle w:val="Heading3"/>
        <w:spacing w:after="120" w:before="220"/>
      </w:pPr>
      <w:r>
        <w:t xml:space="preserve">2.1.3. Seguridad, cumplimiento y recuperación</w:t>
      </w:r>
    </w:p>
    <w:p>
      <w:pPr>
        <w:pStyle w:val="ListParagraph"/>
        <w:numPr>
          <w:ilvl w:val="0"/>
          <w:numId w:val="2"/>
        </w:numPr>
        <w:spacing w:after="120" w:line="340"/>
        <w:jc w:val="both"/>
      </w:pPr>
      <w:r>
        <w:rPr>
          <w:b/>
          <w:bCs/>
          <w:sz w:val="24"/>
          <w:szCs w:val="24"/>
        </w:rPr>
        <w:t xml:space="preserve">Número de incidentes de seguridad: </w:t>
      </w:r>
      <w:r>
        <w:rPr>
          <w:sz w:val="24"/>
          <w:szCs w:val="24"/>
        </w:rPr>
        <w:t xml:space="preserve">cuantifica el nivel de exposición al riesgo y la efectividad real de los controles de protección de datos implantados.</w:t>
      </w:r>
    </w:p>
    <w:p>
      <w:pPr>
        <w:pStyle w:val="ListParagraph"/>
        <w:numPr>
          <w:ilvl w:val="0"/>
          <w:numId w:val="2"/>
        </w:numPr>
        <w:spacing w:after="120" w:line="340"/>
        <w:jc w:val="both"/>
      </w:pPr>
      <w:r>
        <w:rPr>
          <w:b/>
          <w:bCs/>
          <w:sz w:val="24"/>
          <w:szCs w:val="24"/>
        </w:rPr>
        <w:t xml:space="preserve">RTO (objetivo de tiempo de recuperación): </w:t>
      </w:r>
      <w:r>
        <w:rPr>
          <w:sz w:val="24"/>
          <w:szCs w:val="24"/>
        </w:rPr>
        <w:t xml:space="preserve">tiempo máximo aceptable de inactividad tras un desastre. Mide, en definitiva, la velocidad de recuperación del servicio.</w:t>
      </w:r>
    </w:p>
    <w:p>
      <w:pPr>
        <w:pStyle w:val="ListParagraph"/>
        <w:numPr>
          <w:ilvl w:val="0"/>
          <w:numId w:val="2"/>
        </w:numPr>
        <w:spacing w:after="120" w:line="340"/>
        <w:jc w:val="both"/>
      </w:pPr>
      <w:r>
        <w:rPr>
          <w:b/>
          <w:bCs/>
          <w:sz w:val="24"/>
          <w:szCs w:val="24"/>
        </w:rPr>
        <w:t xml:space="preserve">RPO (objetivo de punto de recuperación): </w:t>
      </w:r>
      <w:r>
        <w:rPr>
          <w:sz w:val="24"/>
          <w:szCs w:val="24"/>
        </w:rPr>
        <w:t xml:space="preserve">cantidad de pérdida de datos tolerable, medida en unidades de tiempo, y que determina la frecuencia necesaria de las copias de seguridad.</w:t>
      </w:r>
    </w:p>
    <w:p>
      <w:pPr>
        <w:pStyle w:val="Heading3"/>
        <w:spacing w:after="120" w:before="220"/>
      </w:pPr>
      <w:r>
        <w:t xml:space="preserve">2.1.4. Costes y eficiencia financiera</w:t>
      </w:r>
    </w:p>
    <w:p>
      <w:pPr>
        <w:pStyle w:val="ListParagraph"/>
        <w:numPr>
          <w:ilvl w:val="0"/>
          <w:numId w:val="2"/>
        </w:numPr>
        <w:spacing w:after="120" w:line="340"/>
        <w:jc w:val="both"/>
      </w:pPr>
      <w:r>
        <w:rPr>
          <w:b/>
          <w:bCs/>
          <w:sz w:val="24"/>
          <w:szCs w:val="24"/>
        </w:rPr>
        <w:t xml:space="preserve">TCO (coste total de propiedad): </w:t>
      </w:r>
      <w:r>
        <w:rPr>
          <w:sz w:val="24"/>
          <w:szCs w:val="24"/>
        </w:rPr>
        <w:t xml:space="preserve">evaluación de los activos tecnológicos a lo largo de todo su ciclo de vida, incluyendo adquisición, mantenimiento, operación y retirada.</w:t>
      </w:r>
    </w:p>
    <w:p>
      <w:pPr>
        <w:pStyle w:val="ListParagraph"/>
        <w:numPr>
          <w:ilvl w:val="0"/>
          <w:numId w:val="2"/>
        </w:numPr>
        <w:spacing w:after="120" w:line="340"/>
        <w:jc w:val="both"/>
      </w:pPr>
      <w:r>
        <w:rPr>
          <w:b/>
          <w:bCs/>
          <w:sz w:val="24"/>
          <w:szCs w:val="24"/>
        </w:rPr>
        <w:t xml:space="preserve">ROI en TI: </w:t>
      </w:r>
      <w:r>
        <w:rPr>
          <w:sz w:val="24"/>
          <w:szCs w:val="24"/>
        </w:rPr>
        <w:t xml:space="preserve">evaluación del valor social y económico generado por los proyectos tecnológicos en relación con la inversión realizada, criterio especialmente relevante en la justificación de inversiones públicas.</w:t>
      </w:r>
    </w:p>
    <w:p>
      <w:pPr>
        <w:spacing w:after="200" w:line="360"/>
        <w:jc w:val="both"/>
      </w:pPr>
      <w:r>
        <w:rPr>
          <w:sz w:val="24"/>
          <w:szCs w:val="24"/>
        </w:rPr>
        <w:t xml:space="preserve">El departamento de TI ha evolucionado, en las últimas décadas, de ser percibido como un simple servicio de soporte reactivo a constituirse en un socio estratégico indispensable para la organización. Esta transformación exige precisamente el uso sistemático de las métricas anteriores, que permiten evaluar tanto la eficiencia en la entrega de servicios como el retorno de la inversión realizada en tecnología.</w:t>
      </w:r>
    </w:p>
    <w:p>
      <w:pPr>
        <w:pStyle w:val="Heading1"/>
        <w:spacing w:after="200" w:before="360"/>
      </w:pPr>
      <w:r>
        <w:t xml:space="preserve">3. Planificación de la Capacidad</w:t>
      </w:r>
    </w:p>
    <w:p>
      <w:pPr>
        <w:spacing w:after="200" w:line="360"/>
        <w:jc w:val="both"/>
      </w:pPr>
      <w:r>
        <w:rPr>
          <w:sz w:val="24"/>
          <w:szCs w:val="24"/>
        </w:rPr>
        <w:t xml:space="preserve">Frente a la gestión del rendimiento, de carácter operativo y presente, la planificación de la capacidad es una disciplina de naturaleza estratégica y orientada al futuro. Su objetivo principal consiste en asegurar que la potencia de cómputo, la capacidad de almacenamiento y los recursos de red disponibles sean suficientes para satisfacer las necesidades futuras de todos los usuarios, en condiciones de eficiencia y rentabilidad económica.</w:t>
      </w:r>
    </w:p>
    <w:p>
      <w:pPr>
        <w:spacing w:after="200" w:line="360"/>
        <w:jc w:val="both"/>
      </w:pPr>
      <w:r>
        <w:rPr>
          <w:sz w:val="24"/>
          <w:szCs w:val="24"/>
        </w:rPr>
        <w:t xml:space="preserve">Ambas disciplinas —gestión del rendimiento y planificación de la capacidad— son, por tanto, complementarias: mientras la primera actúa sobre el presente con los recursos existentes, la segunda se proyecta hacia el futuro para dimensionar correctamente la infraestructura que será necesaria.</w:t>
      </w:r>
    </w:p>
    <w:p>
      <w:pPr>
        <w:pStyle w:val="Heading2"/>
        <w:spacing w:after="160" w:before="280"/>
      </w:pPr>
      <w:r>
        <w:t xml:space="preserve">3.1. Subprocesos de la gestión de la capacidad según ITIL</w:t>
      </w:r>
    </w:p>
    <w:p>
      <w:pPr>
        <w:spacing w:after="200" w:line="360"/>
        <w:jc w:val="both"/>
      </w:pPr>
      <w:r>
        <w:rPr>
          <w:sz w:val="24"/>
          <w:szCs w:val="24"/>
        </w:rPr>
        <w:t xml:space="preserve">El marco de referencia ITIL desglosa la gestión de la capacidad en tres subprocesos claramente diferenciados, cuya jerarquía resulta fundamental de cara a la preparación de cualquier proceso selectivo en el ámbito de las tecnologías de la información.</w:t>
      </w:r>
    </w:p>
    <w:p>
      <w:pPr>
        <w:pStyle w:val="ListParagraph"/>
        <w:numPr>
          <w:ilvl w:val="0"/>
          <w:numId w:val="2"/>
        </w:numPr>
        <w:spacing w:after="120" w:line="340"/>
        <w:jc w:val="both"/>
      </w:pPr>
      <w:r>
        <w:rPr>
          <w:b/>
          <w:bCs/>
          <w:sz w:val="24"/>
          <w:szCs w:val="24"/>
        </w:rPr>
        <w:t xml:space="preserve">Gestión de la capacidad de negocio: </w:t>
      </w:r>
      <w:r>
        <w:rPr>
          <w:sz w:val="24"/>
          <w:szCs w:val="24"/>
        </w:rPr>
        <w:t xml:space="preserve">subproceso centrado en las necesidades futuras del organismo o de la empresa, encargado de asegurar que dichas necesidades se identifiquen y planifiquen con la suficiente antelación como para alinearse con los planes institucionales y estratégicos de la organización.</w:t>
      </w:r>
    </w:p>
    <w:p>
      <w:pPr>
        <w:pStyle w:val="ListParagraph"/>
        <w:numPr>
          <w:ilvl w:val="0"/>
          <w:numId w:val="2"/>
        </w:numPr>
        <w:spacing w:after="120" w:line="340"/>
        <w:jc w:val="both"/>
      </w:pPr>
      <w:r>
        <w:rPr>
          <w:b/>
          <w:bCs/>
          <w:sz w:val="24"/>
          <w:szCs w:val="24"/>
        </w:rPr>
        <w:t xml:space="preserve">Gestión de la capacidad del servicio: </w:t>
      </w:r>
      <w:r>
        <w:rPr>
          <w:sz w:val="24"/>
          <w:szCs w:val="24"/>
        </w:rPr>
        <w:t xml:space="preserve">supervisa el rendimiento de los servicios de TI que resultan visibles para el ciudadano o usuario final, garantizando el cumplimiento de los objetivos de rendimiento acordados en los correspondientes SLA.</w:t>
      </w:r>
    </w:p>
    <w:p>
      <w:pPr>
        <w:pStyle w:val="ListParagraph"/>
        <w:numPr>
          <w:ilvl w:val="0"/>
          <w:numId w:val="2"/>
        </w:numPr>
        <w:spacing w:after="120" w:line="340"/>
        <w:jc w:val="both"/>
      </w:pPr>
      <w:r>
        <w:rPr>
          <w:b/>
          <w:bCs/>
          <w:sz w:val="24"/>
          <w:szCs w:val="24"/>
        </w:rPr>
        <w:t xml:space="preserve">Gestión de la capacidad de los componentes: </w:t>
      </w:r>
      <w:r>
        <w:rPr>
          <w:sz w:val="24"/>
          <w:szCs w:val="24"/>
        </w:rPr>
        <w:t xml:space="preserve">gestiona los elementos individuales de la infraestructura tecnológica, tales como la CPU, la memoria o la red, asegurando que cada componente disponga de la capacidad necesaria para sostener el servicio global.</w:t>
      </w:r>
    </w:p>
    <w:p>
      <w:pPr>
        <w:spacing w:after="200" w:line="360"/>
        <w:jc w:val="both"/>
      </w:pPr>
      <w:r>
        <w:rPr>
          <w:sz w:val="24"/>
          <w:szCs w:val="24"/>
        </w:rPr>
        <w:t xml:space="preserve">Resulta oportuno señalar, como nota de interés para el opositor, que en la versión ITIL v2 este último subproceso recibía la denominación de gestión de la capacidad de los recursos, terminología que fue posteriormente sustituida en ITIL v3 e ITIL 4 por la de gestión de la capacidad de los componentes.</w:t>
      </w:r>
    </w:p>
    <w:p>
      <w:pPr>
        <w:pStyle w:val="Heading2"/>
        <w:spacing w:after="160" w:before="280"/>
      </w:pPr>
      <w:r>
        <w:t xml:space="preserve">3.2. El proceso de planificación de la capacidad</w:t>
      </w:r>
    </w:p>
    <w:p>
      <w:pPr>
        <w:spacing w:after="200" w:line="360"/>
        <w:jc w:val="both"/>
      </w:pPr>
      <w:r>
        <w:rPr>
          <w:sz w:val="24"/>
          <w:szCs w:val="24"/>
        </w:rPr>
        <w:t xml:space="preserve">La planificación de la capacidad requiere, para ser eficaz, la aplicación de modelos matemáticos rigurosos que permitan transformar una demanda de naturaleza estocástica —es decir, sujeta a variabilidad e incertidumbre— en previsiones de infraestructura tangibles y cuantificables. El proceso suele articularse en cuatro fases sucesivas: la recogida de datos sobre el uso actual de los recursos, el análisis de las tendencias de crecimiento de la demanda, la modelización del comportamiento futuro del sistema —para lo cual la teoría de colas resulta especialmente útil— y, finalmente, la elaboración de un plan de capacidad que determine cuándo y en qué medida será necesario ampliar la infraestructura disponible.</w:t>
      </w:r>
    </w:p>
    <w:p>
      <w:pPr>
        <w:spacing w:after="200" w:line="360"/>
        <w:jc w:val="both"/>
      </w:pPr>
      <w:r>
        <w:rPr>
          <w:sz w:val="24"/>
          <w:szCs w:val="24"/>
        </w:rPr>
        <w:t xml:space="preserve">Esta planificación debe revisarse de forma periódica, ya que tanto la demanda de los usuarios como la evolución tecnológica disponible en el mercado cambian de manera constante, lo que obliga a mantener un proceso de mejora continua estrechamente vinculado a la gestión del rendimiento descrita en el apartado anterior.</w:t>
      </w:r>
    </w:p>
    <w:p>
      <w:pPr>
        <w:pStyle w:val="Heading1"/>
        <w:spacing w:after="200" w:before="360"/>
      </w:pPr>
      <w:r>
        <w:t xml:space="preserve">4. Análisis de la Carga</w:t>
      </w:r>
    </w:p>
    <w:p>
      <w:pPr>
        <w:spacing w:after="200" w:line="360"/>
        <w:jc w:val="both"/>
      </w:pPr>
      <w:r>
        <w:rPr>
          <w:sz w:val="24"/>
          <w:szCs w:val="24"/>
        </w:rPr>
        <w:t xml:space="preserve">El análisis de la carga de trabajo constituye el punto de partida imprescindible tanto para la evaluación del rendimiento como para la planificación de la capacidad, dado que permite caracterizar de forma cuantitativa la demanda real que soporta el sistema de información. Sin un conocimiento preciso de la carga, cualquier decisión de dimensionamiento de la infraestructura carecería de fundamento objetivo.</w:t>
      </w:r>
    </w:p>
    <w:p>
      <w:pPr>
        <w:pStyle w:val="Heading2"/>
        <w:spacing w:after="160" w:before="280"/>
      </w:pPr>
      <w:r>
        <w:t xml:space="preserve">4.1. Caracterización de la carga de trabajo</w:t>
      </w:r>
    </w:p>
    <w:p>
      <w:pPr>
        <w:spacing w:after="200" w:line="360"/>
        <w:jc w:val="both"/>
      </w:pPr>
      <w:r>
        <w:rPr>
          <w:sz w:val="24"/>
          <w:szCs w:val="24"/>
        </w:rPr>
        <w:t xml:space="preserve">El análisis de la carga implica identificar y cuantificar variables como el volumen de transacciones procesadas por unidad de tiempo, el patrón de llegada de dichas transacciones —habitualmente de naturaleza aleatoria—, el tiempo de servicio requerido por cada tipo de operación, y la distribución de la carga entre los distintos componentes de la infraestructura (CPU, memoria, almacenamiento y red). Esta caracterización permite detectar picos de demanda, periodos de baja utilización y posibles cuellos de botella en el sistema.</w:t>
      </w:r>
    </w:p>
    <w:p>
      <w:pPr>
        <w:pStyle w:val="Heading2"/>
        <w:spacing w:after="160" w:before="280"/>
      </w:pPr>
      <w:r>
        <w:t xml:space="preserve">4.2. La teoría de colas como herramienta de análisis de la carga</w:t>
      </w:r>
    </w:p>
    <w:p>
      <w:pPr>
        <w:spacing w:after="200" w:line="360"/>
        <w:jc w:val="both"/>
      </w:pPr>
      <w:r>
        <w:rPr>
          <w:sz w:val="24"/>
          <w:szCs w:val="24"/>
        </w:rPr>
        <w:t xml:space="preserve">Para un director de operaciones de TI, la teoría de colas resulta esencial a la hora de gestionar recursos limitados frente a demandas de carácter aleatorio. Su origen se remonta a 1909, cuando el matemático e ingeniero danés Agner Krarup Erlang publicó sus estudios sobre el dimensionamiento de centralitas telefónicas, estableciendo de este modo las bases teóricas que hoy se aplican a los sistemas distribuidos y a los entornos de gran capacidad de procesamiento, como los sistemas Mainframe.</w:t>
      </w:r>
    </w:p>
    <w:p>
      <w:pPr>
        <w:pStyle w:val="Heading3"/>
        <w:spacing w:after="120" w:before="220"/>
      </w:pPr>
      <w:r>
        <w:t xml:space="preserve">4.2.1. Elementos de un sistema de colas</w:t>
      </w:r>
    </w:p>
    <w:p>
      <w:pPr>
        <w:spacing w:after="200" w:line="360"/>
        <w:jc w:val="both"/>
      </w:pPr>
      <w:r>
        <w:rPr>
          <w:sz w:val="24"/>
          <w:szCs w:val="24"/>
        </w:rPr>
        <w:t xml:space="preserve">Un sistema de colas se describe formalmente mediante seis características fundamentales: el patrón de llegada de los clientes o transacciones, que responde a llegadas de naturaleza estocástica; el patrón de servicio, definido por un tiempo variable de atención; la disciplina de la cola, que establece el orden de atención —por ejemplo, FIFO (primero en llegar, primero en ser atendido), LIFO (último en llegar, primero en ser atendido) o sistemas de prioridades—; la capacidad del sistema, esto es, el número máximo de elementos que pueden permanecer simultáneamente en cola; el número de canales o servidores disponibles; y, por último, las etapas de servicio por las que debe pasar cada elemento hasta completar su proceso.</w:t>
      </w:r>
    </w:p>
    <w:p>
      <w:pPr>
        <w:pStyle w:val="Heading3"/>
        <w:spacing w:after="120" w:before="220"/>
      </w:pPr>
      <w:r>
        <w:t xml:space="preserve">4.2.2. La Ley de Little</w:t>
      </w:r>
    </w:p>
    <w:p>
      <w:pPr>
        <w:spacing w:after="200" w:line="360"/>
        <w:jc w:val="both"/>
      </w:pPr>
      <w:r>
        <w:rPr>
          <w:sz w:val="24"/>
          <w:szCs w:val="24"/>
        </w:rPr>
        <w:t xml:space="preserve">El rendimiento de un sistema de colas se modela habitualmente a través de la Ley de Little, que establece una relación matemática sencilla pero extraordinariamente potente entre el número medio de elementos presentes en el sistema y el tiempo medio que estos permanecen en él:</w:t>
      </w:r>
    </w:p>
    <w:p>
      <w:pPr>
        <w:spacing w:after="160" w:before="160"/>
        <w:jc w:val="center"/>
      </w:pPr>
      <w:r>
        <w:rPr>
          <w:rFonts w:ascii="Cambria Math" w:cs="Cambria Math" w:eastAsia="Cambria Math" w:hAnsi="Cambria Math"/>
          <w:i/>
          <w:iCs/>
          <w:sz w:val="26"/>
          <w:szCs w:val="26"/>
        </w:rPr>
        <w:t xml:space="preserve">L = λ · W</w:t>
      </w:r>
    </w:p>
    <w:p>
      <w:pPr>
        <w:pStyle w:val="ListParagraph"/>
        <w:numPr>
          <w:ilvl w:val="0"/>
          <w:numId w:val="2"/>
        </w:numPr>
        <w:spacing w:after="120" w:line="340"/>
        <w:jc w:val="both"/>
      </w:pPr>
      <w:r>
        <w:rPr>
          <w:b/>
          <w:bCs/>
          <w:sz w:val="24"/>
          <w:szCs w:val="24"/>
        </w:rPr>
        <w:t xml:space="preserve">L: </w:t>
      </w:r>
      <w:r>
        <w:rPr>
          <w:sz w:val="24"/>
          <w:szCs w:val="24"/>
        </w:rPr>
        <w:t xml:space="preserve">número medio de clientes o transacciones presentes en el sistema.</w:t>
      </w:r>
    </w:p>
    <w:p>
      <w:pPr>
        <w:pStyle w:val="ListParagraph"/>
        <w:numPr>
          <w:ilvl w:val="0"/>
          <w:numId w:val="2"/>
        </w:numPr>
        <w:spacing w:after="120" w:line="340"/>
        <w:jc w:val="both"/>
      </w:pPr>
      <w:r>
        <w:rPr>
          <w:b/>
          <w:bCs/>
          <w:sz w:val="24"/>
          <w:szCs w:val="24"/>
        </w:rPr>
        <w:t xml:space="preserve">λ (lambda): </w:t>
      </w:r>
      <w:r>
        <w:rPr>
          <w:sz w:val="24"/>
          <w:szCs w:val="24"/>
        </w:rPr>
        <w:t xml:space="preserve">tasa media de llegadas de clientes o transacciones por unidad de tiempo.</w:t>
      </w:r>
    </w:p>
    <w:p>
      <w:pPr>
        <w:pStyle w:val="ListParagraph"/>
        <w:numPr>
          <w:ilvl w:val="0"/>
          <w:numId w:val="2"/>
        </w:numPr>
        <w:spacing w:after="120" w:line="340"/>
        <w:jc w:val="both"/>
      </w:pPr>
      <w:r>
        <w:rPr>
          <w:b/>
          <w:bCs/>
          <w:sz w:val="24"/>
          <w:szCs w:val="24"/>
        </w:rPr>
        <w:t xml:space="preserve">W: </w:t>
      </w:r>
      <w:r>
        <w:rPr>
          <w:sz w:val="24"/>
          <w:szCs w:val="24"/>
        </w:rPr>
        <w:t xml:space="preserve">tiempo medio de estancia de cada cliente o transacción en el sistema.</w:t>
      </w:r>
    </w:p>
    <w:p>
      <w:pPr>
        <w:spacing w:after="200" w:line="360"/>
        <w:jc w:val="both"/>
      </w:pPr>
      <w:r>
        <w:rPr>
          <w:sz w:val="24"/>
          <w:szCs w:val="24"/>
        </w:rPr>
        <w:t xml:space="preserve">La Ley de Little resulta válida para cualquier sistema en régimen estacionario, con independencia de la distribución de probabilidad que sigan las llegadas o los tiempos de servicio, lo que la convierte en una herramienta de análisis extraordinariamente versátil.</w:t>
      </w:r>
    </w:p>
    <w:p>
      <w:pPr>
        <w:pStyle w:val="Heading3"/>
        <w:spacing w:after="120" w:before="220"/>
      </w:pPr>
      <w:r>
        <w:t xml:space="preserve">4.2.3. El coeficiente de congestión o de utilización</w:t>
      </w:r>
    </w:p>
    <w:p>
      <w:pPr>
        <w:spacing w:after="200" w:line="360"/>
        <w:jc w:val="both"/>
      </w:pPr>
      <w:r>
        <w:rPr>
          <w:sz w:val="24"/>
          <w:szCs w:val="24"/>
        </w:rPr>
        <w:t xml:space="preserve">El indicador crítico para la gestión de la capacidad de un sistema de colas es el coeficiente de congestión, también denominado coeficiente de utilización, representado habitualmente con la letra griega ρ (rho). Se define mediante la siguiente expresión:</w:t>
      </w:r>
    </w:p>
    <w:p>
      <w:pPr>
        <w:spacing w:after="160" w:before="160"/>
        <w:jc w:val="center"/>
      </w:pPr>
      <w:r>
        <w:rPr>
          <w:rFonts w:ascii="Cambria Math" w:cs="Cambria Math" w:eastAsia="Cambria Math" w:hAnsi="Cambria Math"/>
          <w:i/>
          <w:iCs/>
          <w:sz w:val="26"/>
          <w:szCs w:val="26"/>
        </w:rPr>
        <w:t xml:space="preserve">ρ = λ / (c · μ)</w:t>
      </w:r>
    </w:p>
    <w:p>
      <w:pPr>
        <w:pStyle w:val="ListParagraph"/>
        <w:numPr>
          <w:ilvl w:val="0"/>
          <w:numId w:val="2"/>
        </w:numPr>
        <w:spacing w:after="120" w:line="340"/>
        <w:jc w:val="both"/>
      </w:pPr>
      <w:r>
        <w:rPr>
          <w:b/>
          <w:bCs/>
          <w:sz w:val="24"/>
          <w:szCs w:val="24"/>
        </w:rPr>
        <w:t xml:space="preserve">λ: </w:t>
      </w:r>
      <w:r>
        <w:rPr>
          <w:sz w:val="24"/>
          <w:szCs w:val="24"/>
        </w:rPr>
        <w:t xml:space="preserve">tasa media de llegadas al sistema.</w:t>
      </w:r>
    </w:p>
    <w:p>
      <w:pPr>
        <w:pStyle w:val="ListParagraph"/>
        <w:numPr>
          <w:ilvl w:val="0"/>
          <w:numId w:val="2"/>
        </w:numPr>
        <w:spacing w:after="120" w:line="340"/>
        <w:jc w:val="both"/>
      </w:pPr>
      <w:r>
        <w:rPr>
          <w:b/>
          <w:bCs/>
          <w:sz w:val="24"/>
          <w:szCs w:val="24"/>
        </w:rPr>
        <w:t xml:space="preserve">c: </w:t>
      </w:r>
      <w:r>
        <w:rPr>
          <w:sz w:val="24"/>
          <w:szCs w:val="24"/>
        </w:rPr>
        <w:t xml:space="preserve">número de servidores o canales de atención disponibles.</w:t>
      </w:r>
    </w:p>
    <w:p>
      <w:pPr>
        <w:pStyle w:val="ListParagraph"/>
        <w:numPr>
          <w:ilvl w:val="0"/>
          <w:numId w:val="2"/>
        </w:numPr>
        <w:spacing w:after="120" w:line="340"/>
        <w:jc w:val="both"/>
      </w:pPr>
      <w:r>
        <w:rPr>
          <w:b/>
          <w:bCs/>
          <w:sz w:val="24"/>
          <w:szCs w:val="24"/>
        </w:rPr>
        <w:t xml:space="preserve">μ (mu): </w:t>
      </w:r>
      <w:r>
        <w:rPr>
          <w:sz w:val="24"/>
          <w:szCs w:val="24"/>
        </w:rPr>
        <w:t xml:space="preserve">tasa media de servicio de cada servidor, es decir, el número de clientes que un servidor es capaz de atender por unidad de tiempo.</w:t>
      </w:r>
    </w:p>
    <w:p>
      <w:pPr>
        <w:spacing w:after="200" w:line="360"/>
        <w:jc w:val="both"/>
      </w:pPr>
      <w:r>
        <w:rPr>
          <w:sz w:val="24"/>
          <w:szCs w:val="24"/>
        </w:rPr>
        <w:t xml:space="preserve">Resulta imperativo recordar, de cara al proceso selectivo, que si el coeficiente de congestión es igual o superior a la unidad (ρ ≥ 1), la tasa de llegadas iguala o supera a la capacidad de servicio del sistema, de modo que la cola tenderá a crecer de forma inexorable, el sistema se volverá inestable y se producirá, finalmente, el colapso del servicio. Por el contrario, cuanto más se aproxime ρ a la unidad sin llegar a alcanzarla, mayor será el tiempo de espera medio de los usuarios, aun cuando el sistema permanezca formalmente estable.</w:t>
      </w:r>
    </w:p>
    <w:p>
      <w:pPr>
        <w:pStyle w:val="Heading3"/>
        <w:spacing w:after="120" w:before="220"/>
      </w:pPr>
      <w:r>
        <w:t xml:space="preserve">4.2.4. Distribuciones de probabilidad asociadas</w:t>
      </w:r>
    </w:p>
    <w:p>
      <w:pPr>
        <w:pStyle w:val="ListParagraph"/>
        <w:numPr>
          <w:ilvl w:val="0"/>
          <w:numId w:val="2"/>
        </w:numPr>
        <w:spacing w:after="120" w:line="340"/>
        <w:jc w:val="both"/>
      </w:pPr>
      <w:r>
        <w:rPr>
          <w:b/>
          <w:bCs/>
          <w:sz w:val="24"/>
          <w:szCs w:val="24"/>
        </w:rPr>
        <w:t xml:space="preserve">Distribución de Poisson: </w:t>
      </w:r>
      <w:r>
        <w:rPr>
          <w:sz w:val="24"/>
          <w:szCs w:val="24"/>
        </w:rPr>
        <w:t xml:space="preserve">modela el número de llegadas que se producen en un intervalo de tiempo determinado, constituyendo la base teórica para medir el ritmo de entrada de elementos al sistema, representado por el parámetro λ.</w:t>
      </w:r>
    </w:p>
    <w:p>
      <w:pPr>
        <w:pStyle w:val="ListParagraph"/>
        <w:numPr>
          <w:ilvl w:val="0"/>
          <w:numId w:val="2"/>
        </w:numPr>
        <w:spacing w:after="120" w:line="340"/>
        <w:jc w:val="both"/>
      </w:pPr>
      <w:r>
        <w:rPr>
          <w:b/>
          <w:bCs/>
          <w:sz w:val="24"/>
          <w:szCs w:val="24"/>
        </w:rPr>
        <w:t xml:space="preserve">Distribución exponencial: </w:t>
      </w:r>
      <w:r>
        <w:rPr>
          <w:sz w:val="24"/>
          <w:szCs w:val="24"/>
        </w:rPr>
        <w:t xml:space="preserve">modela el tiempo transcurrido entre llegadas sucesivas o el tiempo de servicio de cada elemento. Esta distribución posee la propiedad de carencia de memoria o amnesia (memorylessness), según la cual la probabilidad de que ocurra un evento en el futuro es completamente independiente del tiempo ya transcurrido desde el último evento.</w:t>
      </w:r>
    </w:p>
    <w:p>
      <w:pPr>
        <w:pStyle w:val="Heading3"/>
        <w:spacing w:after="120" w:before="220"/>
      </w:pPr>
      <w:r>
        <w:t xml:space="preserve">4.2.5. La notación de Kendall</w:t>
      </w:r>
    </w:p>
    <w:p>
      <w:pPr>
        <w:spacing w:after="200" w:line="360"/>
        <w:jc w:val="both"/>
      </w:pPr>
      <w:r>
        <w:rPr>
          <w:sz w:val="24"/>
          <w:szCs w:val="24"/>
        </w:rPr>
        <w:t xml:space="preserve">Los sistemas de colas se clasifican habitualmente mediante la notación de Kendall, expresada en la forma A/B/X/Y/Z, donde A representa la distribución del patrón de llegadas, B la distribución del patrón de servicio, X el número de servidores, Y la capacidad del sistema y Z la disciplina de la cola. El modelo más utilizado en la práctica es el sistema M/M/1, que indica llegadas según una distribución de Poisson (M, de Markoviana), tiempos de servicio según una distribución exponencial (M) y la existencia de un único servidor.</w:t>
      </w:r>
    </w:p>
    <w:p>
      <w:pPr>
        <w:pStyle w:val="Heading1"/>
        <w:spacing w:after="200" w:before="360"/>
      </w:pPr>
      <w:r>
        <w:t xml:space="preserve">5. Herramientas y Técnicas Utilizables</w:t>
      </w:r>
    </w:p>
    <w:p>
      <w:pPr>
        <w:spacing w:after="200" w:line="360"/>
        <w:jc w:val="both"/>
      </w:pPr>
      <w:r>
        <w:rPr>
          <w:sz w:val="24"/>
          <w:szCs w:val="24"/>
        </w:rPr>
        <w:t xml:space="preserve">La automatización en la recogida y el tratamiento de los datos de rendimiento y capacidad resulta crítica en arquitecturas complejas, como ocurre de manera destacada en los entornos IBM Z. Las herramientas de software de base y de gestión permiten, en este sentido, una respuesta proactiva ante incidentes y una sintonización precisa del rendimiento del sistema, completando así el ciclo que comienza con el control de la ejecución de los trabajos y termina con la planificación estratégica de la capacidad.</w:t>
      </w:r>
    </w:p>
    <w:p>
      <w:pPr>
        <w:pStyle w:val="Heading2"/>
        <w:spacing w:after="160" w:before="280"/>
      </w:pPr>
      <w:r>
        <w:t xml:space="preserve">5.1. Herramientas de monitorización de sistemas</w:t>
      </w:r>
    </w:p>
    <w:p>
      <w:pPr>
        <w:spacing w:after="200" w:line="360"/>
        <w:jc w:val="both"/>
      </w:pPr>
      <w:r>
        <w:rPr>
          <w:sz w:val="24"/>
          <w:szCs w:val="24"/>
        </w:rPr>
        <w:t xml:space="preserve">Las herramientas de monitorización de sistemas se encargan de la supervisión de la salud de los servidores, los subsistemas y los entornos virtuales o en la nube. Entre los ejemplos más representativos en el ecosistema IBM Z destacan OMEGAMON AI for z/OS, IBM Infrastructure Suite for z/VM and Linux y OMEGAMON for CICS/Db2, herramientas que permiten obtener una visión integral del estado de la infraestructura en tiempo real.</w:t>
      </w:r>
    </w:p>
    <w:p>
      <w:pPr>
        <w:pStyle w:val="Heading2"/>
        <w:spacing w:after="160" w:before="280"/>
      </w:pPr>
      <w:r>
        <w:t xml:space="preserve">5.2. Herramientas de gestión del almacenamiento</w:t>
      </w:r>
    </w:p>
    <w:p>
      <w:pPr>
        <w:spacing w:after="200" w:line="360"/>
        <w:jc w:val="both"/>
      </w:pPr>
      <w:r>
        <w:rPr>
          <w:sz w:val="24"/>
          <w:szCs w:val="24"/>
        </w:rPr>
        <w:t xml:space="preserve">Este conjunto de herramientas tiene como función estratégica la prevención de interrupciones del servicio derivadas de la falta de espacio de almacenamiento, así como la optimización de las copias de seguridad en entornos de nube híbrida. Entre ellas pueden citarse OMEGAMON for Storage on z/OS e IBM Cloud Tape Connector for z/OS.</w:t>
      </w:r>
    </w:p>
    <w:p>
      <w:pPr>
        <w:pStyle w:val="Heading2"/>
        <w:spacing w:after="160" w:before="280"/>
      </w:pPr>
      <w:r>
        <w:t xml:space="preserve">5.3. Herramientas de gestión de redes de sistemas</w:t>
      </w:r>
    </w:p>
    <w:p>
      <w:pPr>
        <w:spacing w:after="200" w:line="360"/>
        <w:jc w:val="both"/>
      </w:pPr>
      <w:r>
        <w:rPr>
          <w:sz w:val="24"/>
          <w:szCs w:val="24"/>
        </w:rPr>
        <w:t xml:space="preserve">Orientadas a la gestión proactiva del rendimiento de la red y de la conectividad, tanto en entornos IP como SNA, destacan en este ámbito herramientas como OMEGAMON AI for Networks y z/OS Communications Server, que permiten anticipar problemas de latencia y de congestión antes de que afecten al usuario final.</w:t>
      </w:r>
    </w:p>
    <w:p>
      <w:pPr>
        <w:pStyle w:val="Heading2"/>
        <w:spacing w:after="160" w:before="280"/>
      </w:pPr>
      <w:r>
        <w:t xml:space="preserve">5.4. Herramientas de planificación de recursos humanos</w:t>
      </w:r>
    </w:p>
    <w:p>
      <w:pPr>
        <w:spacing w:after="200" w:line="360"/>
        <w:jc w:val="both"/>
      </w:pPr>
      <w:r>
        <w:rPr>
          <w:sz w:val="24"/>
          <w:szCs w:val="24"/>
        </w:rPr>
        <w:t xml:space="preserve">Junto a las herramientas técnicas orientadas a la infraestructura, resulta igualmente necesario contar con herramientas de planificación de los recursos humanos, encargadas de la gestión de la carga de trabajo, la disponibilidad y la asignación del personal técnico. En este sentido, herramientas de gestión de proyectos como GanttPRO permiten coordinar adecuadamente los equipos responsables del mantenimiento y la evolución de los sistemas.</w:t>
      </w:r>
    </w:p>
    <w:p>
      <w:pPr>
        <w:pStyle w:val="Heading2"/>
        <w:spacing w:after="160" w:before="280"/>
      </w:pPr>
      <w:r>
        <w:t xml:space="preserve">5.5. Técnicas complementarias de análisis</w:t>
      </w:r>
    </w:p>
    <w:p>
      <w:pPr>
        <w:spacing w:after="200" w:line="360"/>
        <w:jc w:val="both"/>
      </w:pPr>
      <w:r>
        <w:rPr>
          <w:sz w:val="24"/>
          <w:szCs w:val="24"/>
        </w:rPr>
        <w:t xml:space="preserve">Además de las herramientas de monitorización propiamente dichas, conviene señalar la existencia de un conjunto de técnicas analíticas que complementan la teoría de colas en la práctica de la planificación de la capacidad. Entre ellas destacan la simulación de sistemas, que permite reproducir el comportamiento de la infraestructura ante distintos escenarios de carga sin necesidad de modificar el entorno real; las pruebas de carga y de estrés (load testing y stress testing), orientadas a determinar el punto de saturación del sistema en condiciones controladas; y el análisis de tendencias históricas, basado en series temporales de consumo de recursos, que permite proyectar la demanda futura con un grado razonable de fiabilidad.</w:t>
      </w:r>
    </w:p>
    <w:p>
      <w:pPr>
        <w:pStyle w:val="Heading1"/>
        <w:spacing w:after="200" w:before="360"/>
      </w:pPr>
      <w:r>
        <w:t xml:space="preserve">Conclusión</w:t>
      </w:r>
    </w:p>
    <w:p>
      <w:pPr>
        <w:spacing w:after="200" w:line="360"/>
        <w:jc w:val="both"/>
      </w:pPr>
      <w:r>
        <w:rPr>
          <w:sz w:val="24"/>
          <w:szCs w:val="24"/>
        </w:rPr>
        <w:t xml:space="preserve">El control de la ejecución de los trabajos, la evaluación del rendimiento y la planificación de la capacidad forman una cadena de gestión perfectamente articulada: el control proporciona los datos operativos, la evaluación los convierte en indicadores de gestión y la planificación los proyecta hacia el futuro para anticipar las necesidades de infraestructura. El análisis de la carga, sustentado en el aparato matemático de la teoría de colas —con la Ley de Little y el coeficiente de congestión como herramientas centrales—, proporciona el marco analítico necesario para comprender el comportamiento del sistema ante demandas aleatorias.</w:t>
      </w:r>
    </w:p>
    <w:p>
      <w:pPr>
        <w:spacing w:after="200" w:line="360"/>
        <w:jc w:val="both"/>
      </w:pPr>
      <w:r>
        <w:rPr>
          <w:sz w:val="24"/>
          <w:szCs w:val="24"/>
        </w:rPr>
        <w:t xml:space="preserve">Finalmente, los KPI estratégicos ofrecen la visibilidad imprescindible para la toma de decisiones, mientras que las herramientas de monitorización y las técnicas analíticas complementarias ejecutan la recogida de datos y la automatización del proceso. Esta tríada —teoría, métricas y herramientas— constituye el núcleo de la gestión moderna del rendimiento y la capacidad, resultando indispensable para cualquier profesional con responsabilidades de dirección tecnológica, tanto en el ámbito privado como en la Administración Pública.</w:t>
      </w:r>
    </w:p>
    <w:sectPr>
      <w:headerReference w:type="default" r:id="rId7"/>
      <w:footerReference w:type="default" r:id="rId8"/>
      <w:pgSz w:w="11906" w:h="16838" w:orient="portrait"/>
      <w:pgMar w:top="1417" w:right="1417" w:bottom="1417" w:left="141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Página </w:t>
    </w:r>
    <w:r>
      <w:rPr>
        <w:sz w:val="18"/>
        <w:szCs w:val="18"/>
      </w:rPr>
      <w:t xml:space="preserve"/>
    </w:r>
    <w:r>
      <w:rPr>
        <w:color w:val="808080"/>
        <w:sz w:val="18"/>
        <w:szCs w:val="18"/>
      </w:rPr>
      <w:fldChar w:fldCharType="begin"/>
      <w:instrText xml:space="preserve">PAGE</w:instrText>
      <w:fldChar w:fldCharType="separate"/>
      <w:fldChar w:fldCharType="end"/>
    </w:r>
    <w:r>
      <w:rPr>
        <w:color w:val="808080"/>
        <w:sz w:val="18"/>
        <w:szCs w:val="18"/>
      </w:rPr>
      <w:t xml:space="preserve"> de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2"/>
      </w:pBdr>
      <w:jc w:val="right"/>
    </w:pPr>
    <w:r>
      <w:rPr>
        <w:i/>
        <w:iCs/>
        <w:color w:val="808080"/>
        <w:sz w:val="16"/>
        <w:szCs w:val="16"/>
      </w:rPr>
      <w:t xml:space="preserve">Tema 59 — Gestión del Rendimiento, Capacidad y Teoría de Colas en 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lvl w:ilvl="1" w15:tentative="1">
      <w:start w:val="1"/>
      <w:numFmt w:val="bullet"/>
      <w:lvlText w:val="–"/>
      <w:lvlJc w:val="left"/>
      <w:pPr>
        <w:ind w:left="98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F3864" w:sz="6" w:space="4"/>
      </w:pBdr>
      <w:spacing w:after="200" w:before="360"/>
      <w:outlineLvl w:val="0"/>
    </w:pPr>
    <w:rPr>
      <w:rFonts w:ascii="Calibri" w:cs="Calibri" w:eastAsia="Calibri" w:hAnsi="Calibri"/>
      <w:b/>
      <w:bCs/>
      <w:color w:val="1F3864"/>
      <w:sz w:val="32"/>
      <w:szCs w:val="32"/>
    </w:rPr>
  </w:style>
  <w:style w:type="paragraph" w:styleId="Heading2">
    <w:name w:val="Heading 2"/>
    <w:basedOn w:val="Normal"/>
    <w:next w:val="Normal"/>
    <w:qFormat/>
    <w:pPr>
      <w:spacing w:after="160" w:before="280"/>
      <w:outlineLvl w:val="1"/>
    </w:pPr>
    <w:rPr>
      <w:rFonts w:ascii="Calibri" w:cs="Calibri" w:eastAsia="Calibri" w:hAnsi="Calibri"/>
      <w:b/>
      <w:bCs/>
      <w:color w:val="2E5395"/>
      <w:sz w:val="28"/>
      <w:szCs w:val="28"/>
    </w:rPr>
  </w:style>
  <w:style w:type="paragraph" w:styleId="Heading3">
    <w:name w:val="Heading 3"/>
    <w:basedOn w:val="Normal"/>
    <w:next w:val="Normal"/>
    <w:qFormat/>
    <w:pPr>
      <w:spacing w:after="120" w:before="220"/>
      <w:outlineLvl w:val="2"/>
    </w:pPr>
    <w:rPr>
      <w:rFonts w:ascii="Calibri" w:cs="Calibri" w:eastAsia="Calibri" w:hAnsi="Calibri"/>
      <w:b/>
      <w:bCs/>
      <w:i/>
      <w:iCs/>
      <w:color w:val="404040"/>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 59 - Gestión del Rendimiento, Capacidad y Teoría de Colas en TI</dc:title>
  <dc:creator>Consultor Senior de Estrategia TI</dc:creator>
  <cp:lastModifiedBy>Un-named</cp:lastModifiedBy>
  <cp:revision>1</cp:revision>
  <dcterms:created xsi:type="dcterms:W3CDTF">2026-06-18T08:50:29.403Z</dcterms:created>
  <dcterms:modified xsi:type="dcterms:W3CDTF">2026-06-18T08:50:29.406Z</dcterms:modified>
</cp:coreProperties>
</file>

<file path=docProps/custom.xml><?xml version="1.0" encoding="utf-8"?>
<Properties xmlns="http://schemas.openxmlformats.org/officeDocument/2006/custom-properties" xmlns:vt="http://schemas.openxmlformats.org/officeDocument/2006/docPropsVTypes"/>
</file>