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sz w:val="28"/>
          <w:szCs w:val="28"/>
        </w:rPr>
        <w:t xml:space="preserve">Almacenamiento Masivo de Datos: Sistemas SAN, NAS y DAS: Componentes, Protocolos, Gestión y Administración. Virtualización del Almacenamiento. Gestión de Volúmenes</w:t>
      </w:r>
    </w:p>
    <w:p>
      <w:pPr>
        <w:pStyle w:val="Heading1"/>
        <w:spacing w:after="160" w:before="280"/>
      </w:pPr>
      <w:r>
        <w:t xml:space="preserve">1. Introducción y Contexto Estratégico</w:t>
      </w:r>
    </w:p>
    <w:p>
      <w:pPr>
        <w:spacing w:after="90" w:line="242"/>
        <w:jc w:val="both"/>
      </w:pPr>
      <w:r>
        <w:t xml:space="preserve">La gestión de infraestructuras críticas en el ámbito de la administración pública exige evolucionar desde modelos de almacenamiento aislados (silos independientes por servidor) hacia arquitecturas de red convergentes, capaces de transportar simultáneamente tráfico de datos, almacenamiento y clúster sobre una única infraestructura física. Esta convergencia descansa sobre los Adaptadores de Interfaz de Red Convergente (C-NIC), dispositivos que combinan en un solo componente las funciones de una tarjeta de red tradicional y las de un adaptador de almacenamiento acelerado, sobre redes Ethernet estándar.</w:t>
      </w:r>
    </w:p>
    <w:p>
      <w:pPr>
        <w:spacing w:after="90" w:line="242"/>
        <w:jc w:val="both"/>
      </w:pPr>
      <w:r>
        <w:t xml:space="preserve">La eficacia de estos adaptadores —de los que la serie Marvell FastLinQ es un ejemplo representativo— reside en su arquitectura ASIC con un procesador RISC integrado en el propio chip, lo que permite descargar del host tareas de procesamiento de red complejas. Dos mecanismos resultan determinantes: la tecnología Zero Copy, que evita copias innecesarias de datos en la memoria del servidor durante las operaciones de E/S, y el uso de una infraestructura Ethernet unificada para datos, almacenamiento y clúster, lo que reduce la complejidad del cableado y mejora la eficiencia energética del centro de datos.</w:t>
      </w:r>
    </w:p>
    <w:p>
      <w:pPr>
        <w:spacing w:after="90" w:line="242"/>
        <w:jc w:val="both"/>
      </w:pPr>
      <w:r>
        <w:t xml:space="preserve">Esta base tecnológica constituye el punto de partida necesario para comprender las distintas arquitecturas de conexión al almacenamiento que se describen a continuación.</w:t>
      </w:r>
    </w:p>
    <w:p>
      <w:pPr>
        <w:pStyle w:val="Heading1"/>
        <w:spacing w:after="160" w:before="280"/>
      </w:pPr>
      <w:r>
        <w:t xml:space="preserve">2. Arquitecturas de Almacenamiento: DAS, NAS y SAN</w:t>
      </w:r>
    </w:p>
    <w:p>
      <w:pPr>
        <w:spacing w:after="90" w:line="242"/>
        <w:jc w:val="both"/>
      </w:pPr>
      <w:r>
        <w:t xml:space="preserve">La selección de una arquitectura de almacenamiento depende fundamentalmente de dos factores: las necesidades de escalabilidad de la organización y el tipo de acceso requerido, ya sea a nivel de bloque o a nivel de archivo. Conviene distinguir con claridad los tres modelos clásicos.</w:t>
      </w:r>
    </w:p>
    <w:p>
      <w:pPr>
        <w:spacing w:after="90" w:line="242"/>
        <w:jc w:val="both"/>
      </w:pPr>
      <w:r>
        <w:t xml:space="preserve">El almacenamiento conectado directamente (DAS, Direct Attached Storage) consiste en dispositivos de almacenamiento conectados directamente a un servidor sin pasar por una red intermedia, lo que lo convierte en la solución más sencilla, aunque también la menos escalable y la que ofrece menor capacidad de compartición de recursos. Frente a este modelo, las redes de área de almacenamiento (SAN, Storage Area Network) proporcionan acceso a nivel de bloque a través de una red dedicada, permitiendo que múltiples servidores compartan recursos de almacenamiento de alto rendimiento como si se tratara de discos locales. Por su parte, el almacenamiento conectado en red (NAS, Network Attached Storage) ofrece acceso a nivel de archivo mediante protocolos como NFS o CIFS/SMB, resultando idóneo para la compartición de ficheros entre múltiples usuarios y sistemas, aunque con un rendimiento generalmente inferior al de una SAN para cargas de trabajo intensivas en E/S.</w:t>
      </w:r>
    </w:p>
    <w:p>
      <w:pPr>
        <w:spacing w:after="90" w:line="242"/>
        <w:jc w:val="both"/>
      </w:pPr>
      <w:r>
        <w:t xml:space="preserve">Tanto el DAS como las SAN de bloque pueden apoyarse en protocolos como iSCSI y FCoE, que permiten transferencias a nivel de bloque y posibilitan que el sistema operativo trate el almacenamiento remoto exactamente igual que un disco local. La robustez de una SAN depende, en gran medida, de la calidad de sus componentes físicos certificados: adaptadores C-NIC compatibles con velocidades de 1 GbE, 10 GbE e incluso superiores (como los de la serie 57xx/57xxx); transceptores ópticos del tipo SFP+ de Clase 1 Laser, cuya especificación de seguridad resulta crítica; y cableado, que puede ser de cobre (par trenzado RJ45 para 10GBASE-T) o de fibra óptica, esta última reservada para las conexiones de mayor rendimiento y distancia.</w:t>
      </w:r>
    </w:p>
    <w:p>
      <w:pPr>
        <w:spacing w:after="90" w:line="242"/>
        <w:jc w:val="both"/>
      </w:pPr>
      <w:r>
        <w:t xml:space="preserve">El despliegue de una SAN sobre Ethernet aporta un valor estratégico considerable, ya que permite preservar la inversión de capital (CapEx) realizada en la infraestructura de red existente, evitando el despliegue de redes Fibre Channel dedicadas, notablemente más costosas tanto en equipamiento como en mantenimiento.</w:t>
      </w:r>
    </w:p>
    <w:p>
      <w:pPr>
        <w:pStyle w:val="Heading1"/>
        <w:spacing w:after="160" w:before="280"/>
      </w:pPr>
      <w:r>
        <w:t xml:space="preserve">3. Protocolos de Almacenamiento y Tecnologías de Descarga (Offload)</w:t>
      </w:r>
    </w:p>
    <w:p>
      <w:pPr>
        <w:spacing w:after="90" w:line="242"/>
        <w:jc w:val="both"/>
      </w:pPr>
      <w:r>
        <w:t xml:space="preserve">La eficiencia del almacenamiento en red moderno depende, en buena medida, de la capacidad del hardware para liberar a la CPU del procesamiento de los protocolos de comunicación, delegando dicha tarea en motores de descarga específicos integrados en el propio adaptador.</w:t>
      </w:r>
    </w:p>
    <w:p>
      <w:pPr>
        <w:pStyle w:val="Heading2"/>
        <w:spacing w:after="120" w:before="220"/>
      </w:pPr>
      <w:r>
        <w:t xml:space="preserve">3.1. iSCSI (Internet SCSI)</w:t>
      </w:r>
    </w:p>
    <w:p>
      <w:pPr>
        <w:spacing w:after="90" w:line="242"/>
        <w:jc w:val="both"/>
      </w:pPr>
      <w:r>
        <w:t xml:space="preserve">iSCSI es un protocolo de nivel de aplicación (encuadrado habitualmente como protocolo de capa 5) que emplea TCP como su único protocolo de transporte. Esta dependencia exclusiva de TCP permite que iSCSI se beneficie enormemente del Motor de Descarga TCP (TOE, TCP Offload Engine), un componente hardware que procesa la pila TCP/IP directamente en el adaptador, sin intervención de la CPU del servidor. Un concepto especialmente relevante es el iSCSI Boot, que permite arrancar el sistema operativo de un servidor directamente desde un destino iSCSI ubicado en la red, posibilitando un despliegue centralizado y sin necesidad de discos locales.</w:t>
      </w:r>
    </w:p>
    <w:p>
      <w:pPr>
        <w:pStyle w:val="Heading2"/>
        <w:spacing w:after="120" w:before="220"/>
      </w:pPr>
      <w:r>
        <w:t xml:space="preserve">3.2. FCoE (Fibre Channel over Ethernet)</w:t>
      </w:r>
    </w:p>
    <w:p>
      <w:pPr>
        <w:spacing w:after="90" w:line="242"/>
        <w:jc w:val="both"/>
      </w:pPr>
      <w:r>
        <w:t xml:space="preserve">FCoE encapsula tramas de Fibre Channel nativas directamente sobre Ethernet, sin pasar por TCP/IP. A diferencia de iSCSI, FCoE carece de mecanismos propios de control de errores y recuperación de tramas, por lo que exige de forma estricta que la red Ethernet subyacente sea una red sin pérdidas (lossless), capaz de garantizar la entrega de todos los paquetes. Para el establecimiento y mantenimiento de las conexiones, FCoE recurre al protocolo FIP (FCoE Initialization Protocol), encargado del descubrimiento de dispositivos y de la inicialización de las sesiones.</w:t>
      </w:r>
    </w:p>
    <w:p>
      <w:pPr>
        <w:spacing w:after="90" w:line="242"/>
        <w:jc w:val="both"/>
      </w:pPr>
      <w:r>
        <w:t xml:space="preserve">En síntesis, mientras que iSCSI opera sobre una red IP estándar y delega el control de errores en TCP, FCoE requiere conmutadores con soporte de Data Center Bridging (DCB) para construir una red Ethernet sin pérdidas, ya que su encapsulación directa carece de mecanismos propios de recuperación.</w:t>
      </w:r>
    </w:p>
    <w:p>
      <w:pPr>
        <w:pStyle w:val="Heading1"/>
        <w:spacing w:after="160" w:before="280"/>
      </w:pPr>
      <w:r>
        <w:t xml:space="preserve">4. Gestión de Red y Alta Disponibilidad: Teaming y VLANs</w:t>
      </w:r>
    </w:p>
    <w:p>
      <w:pPr>
        <w:spacing w:after="90" w:line="242"/>
        <w:jc w:val="both"/>
      </w:pPr>
      <w:r>
        <w:t xml:space="preserve">En entornos de administración electrónica, donde la disponibilidad del servicio resulta innegociable, la redundancia de las conexiones de red constituye un requisito esencial. La técnica de teaming (agrupación de adaptadores) permite combinar entre 2 y 8 adaptadores físicos en un único adaptador virtual, incrementando tanto la tolerancia a fallos como, en determinadas configuraciones, el ancho de banda agregado disponible.</w:t>
      </w:r>
    </w:p>
    <w:p>
      <w:pPr>
        <w:spacing w:after="90" w:line="242"/>
        <w:jc w:val="both"/>
      </w:pPr>
      <w:r>
        <w:t xml:space="preserve">Los mecanismos de teaming se clasifican en dos grandes categorías. La primera es el teaming independiente del conmutador (switch independent), del que el Smart Load Balancing (SLB) constituye el ejemplo más representativo. Esta modalidad resulta especialmente versátil para entornos de administración pública, puesto que permite el teaming entre adaptadores de distintos fabricantes (mixed vendor) y no requiere ninguna configuración previa en el conmutador. Para la detección de fallos más allá del primer conmutador conectado, esta tecnología emplea el mecanismo LiveLink™.</w:t>
      </w:r>
    </w:p>
    <w:p>
      <w:pPr>
        <w:spacing w:after="90" w:line="242"/>
        <w:jc w:val="both"/>
      </w:pPr>
      <w:r>
        <w:t xml:space="preserve">La segunda categoría es el teaming dependiente del conmutador (switch dependent), que sí exige una configuración específica en el equipo de red. Entre sus ejemplos más destacados se encuentran la Agregación de Enlaces conforme al estándar LACP (IEEE 802.3ad) y la Troncalización Genérica (FEC/GEC), esta última habitual en entornos Cisco bajo la denominación Fast EtherChannel.</w:t>
      </w:r>
    </w:p>
    <w:p>
      <w:pPr>
        <w:spacing w:after="90" w:line="242"/>
        <w:jc w:val="both"/>
      </w:pPr>
      <w:r>
        <w:t xml:space="preserve">Complementariamente, la segmentación lógica del tráfico se realiza mediante VLANs conforme al estándar IEEE 802.1Q. Cada adaptador admite hasta 64 VLANs, de las cuales 63 pueden llevar etiqueta (tagged) y una permanece sin etiquetar (untagged). Esta capacidad permite que un único servidor físico tenga presencia lógica simultánea en múltiples subredes, facilitando, por ejemplo, el aislamiento del tráfico de almacenamiento respecto del tráfico de gestión o de datos de usuario.</w:t>
      </w:r>
    </w:p>
    <w:p>
      <w:pPr>
        <w:pStyle w:val="Heading1"/>
        <w:spacing w:after="160" w:before="280"/>
      </w:pPr>
      <w:r>
        <w:t xml:space="preserve">5. Data Center Bridging (DCB) y Optimización del Tráfico</w:t>
      </w:r>
    </w:p>
    <w:p>
      <w:pPr>
        <w:spacing w:after="90" w:line="242"/>
        <w:jc w:val="both"/>
      </w:pPr>
      <w:r>
        <w:t xml:space="preserve">Para que una red Ethernet convencional resulte apta para soportar tráfico de almacenamiento sensible a la pérdida de paquetes —y muy especialmente el tráfico FCoE—, es necesario transformarla en una red sin pérdidas mediante la adopción del conjunto de estándares conocido como Data Center Bridging (DCB). Tres extensiones IEEE resultan fundamentales en este contexto.</w:t>
      </w:r>
    </w:p>
    <w:p>
      <w:pPr>
        <w:spacing w:after="90" w:line="242"/>
        <w:jc w:val="both"/>
      </w:pPr>
      <w:r>
        <w:t xml:space="preserve">El Control de Flujo basado en Prioridades (PFC, IEEE 802.1Qbb) evita la pérdida de tramas mediante un control de flujo selectivo por clases de tráfico, deteniendo únicamente las categorías saturadas, en lugar de paralizar todo el enlace como en los mecanismos tradicionales. La Selección Mejorada de Transmisión (ETS, IEEE 802.1Qaz) permite asignar porcentajes de ancho de banda garantizado a cada clase de tráfico; por ejemplo, reservando un 40 % del enlace para el almacenamiento. El Protocolo de Intercambio DCBX se encarga de verificar que el adaptador y el conmutador mantengan configuraciones coherentes entre sí.</w:t>
      </w:r>
    </w:p>
    <w:p>
      <w:pPr>
        <w:spacing w:after="90" w:line="242"/>
        <w:jc w:val="both"/>
      </w:pPr>
      <w:r>
        <w:t xml:space="preserve">Resulta imprescindible memorizar que, sin el soporte de PFC (IEEE 802.1Qbb), el tráfico FCoE no podría garantizar la entrega fiable de sus paquetes, lo que invalidaría por completo el modelo de convergencia de redes en el centro de datos.</w:t>
      </w:r>
    </w:p>
    <w:p>
      <w:pPr>
        <w:pStyle w:val="Heading1"/>
        <w:spacing w:after="160" w:before="280"/>
      </w:pPr>
      <w:r>
        <w:t xml:space="preserve">6. Virtualización del Almacenamiento</w:t>
      </w:r>
    </w:p>
    <w:p>
      <w:pPr>
        <w:spacing w:after="90" w:line="242"/>
        <w:jc w:val="both"/>
      </w:pPr>
      <w:r>
        <w:t xml:space="preserve">La virtualización del almacenamiento desacopla los servicios lógicos de las limitaciones del hardware físico subyacente, mediante un conjunto de técnicas de abstracción que conviene distinguir con precisión.</w:t>
      </w:r>
    </w:p>
    <w:p>
      <w:pPr>
        <w:spacing w:after="90" w:line="242"/>
        <w:jc w:val="both"/>
      </w:pPr>
      <w:r>
        <w:t xml:space="preserve">El Particionamiento de NIC (NPAR, NIC Partitioning) permite dividir un único puerto físico —por ejemplo, de 10 GbE— en varias funciones lógicas independientes. Cada una de estas particiones se presenta ante el sistema operativo como si se tratara de un adaptador de red autónomo, con su propio ancho de banda asignado y gestionable de forma individual.</w:t>
      </w:r>
    </w:p>
    <w:p>
      <w:pPr>
        <w:spacing w:after="90" w:line="242"/>
        <w:jc w:val="both"/>
      </w:pPr>
      <w:r>
        <w:t xml:space="preserve">La Virtualización de E/S de Raíz Única (SR-IOV, Single Root I/O Virtualization) permite que las máquinas virtuales accedan de manera directa a funciones virtuales del hardware del adaptador, puenteando la capa de virtualización del hipervisor. De este modo se reduce drásticamente la sobrecarga de procesamiento y se alcanza un rendimiento de E/S muy próximo al de un acceso nativo.</w:t>
      </w:r>
    </w:p>
    <w:p>
      <w:pPr>
        <w:spacing w:after="90" w:line="242"/>
        <w:jc w:val="both"/>
      </w:pPr>
      <w:r>
        <w:t xml:space="preserve">La Virtualización de Identificador de N_Port (NPIV, N_Port ID Virtualization) resulta esencial en entornos FCoE y Fibre Channel, ya que permite compartir un único puerto físico entre múltiples identidades virtuales, cada una con su propio identificador WWN (World Wide Name). Esta capacidad facilita la asignación directa de unidades lógicas (LUN) a máquinas virtuales concretas, sin que estas tengan conocimiento del hardware físico subyacente.</w:t>
      </w:r>
    </w:p>
    <w:p>
      <w:pPr>
        <w:spacing w:after="90" w:line="242"/>
        <w:jc w:val="both"/>
      </w:pPr>
      <w:r>
        <w:t xml:space="preserve">Estas tecnologías de virtualización se apoyan, además, en la Frecuencia de Interrupción Adaptativa, un mecanismo que ajusta dinámicamente la tasa de interrupciones generadas hacia el host en función de la carga de trabajo real. Gracias a este conjunto de técnicas, los hipervisores —como VMware ESXi o Microsoft Hyper-V— pueden operar con latencias mínimas incluso en escenarios de alta exigencia de E/S.</w:t>
      </w:r>
    </w:p>
    <w:p>
      <w:pPr>
        <w:pStyle w:val="Heading1"/>
        <w:spacing w:after="160" w:before="280"/>
      </w:pPr>
      <w:r>
        <w:t xml:space="preserve">7. Gestión de Volúmenes</w:t>
      </w:r>
    </w:p>
    <w:p>
      <w:pPr>
        <w:spacing w:after="90" w:line="242"/>
        <w:jc w:val="both"/>
      </w:pPr>
      <w:r>
        <w:t xml:space="preserve">La gestión de volúmenes constituye el complemento lógico de la virtualización del almacenamiento, al introducir una capa de abstracción entre los discos físicos y los sistemas de archivos que los utilizan. Mediante un Gestor de Volúmenes Lógicos (LVM, Logical Volume Manager) es posible agrupar varios discos físicos en uno o varios grupos de volúmenes, sobre los que después se crean volúmenes lógicos de tamaño flexible, redimensionables en caliente sin necesidad de interrumpir el servicio.</w:t>
      </w:r>
    </w:p>
    <w:p>
      <w:pPr>
        <w:spacing w:after="90" w:line="242"/>
        <w:jc w:val="both"/>
      </w:pPr>
      <w:r>
        <w:t xml:space="preserve">Entre las funcionalidades más relevantes de la gestión de volúmenes destacan la creación de volúmenes en espejo (mirroring) para incrementar la disponibilidad de los datos, la distribución de la información entre varios discos físicos (striping) para mejorar el rendimiento, y la posibilidad de realizar instantáneas (snapshots) que capturan el estado de un volumen en un instante determinado, resultando especialmente útiles para operaciones de copia de seguridad y recuperación ante desastres. Asimismo, la asignación de unidades lógicas (LUN, Logical Unit Number) permite presentar porciones específicas de capacidad de almacenamiento a los distintos servidores o máquinas virtuales conectados a la SAN, facilitando un aprovechamiento eficiente y seguro de los recursos disponibles.</w:t>
      </w:r>
    </w:p>
    <w:p>
      <w:pPr>
        <w:pStyle w:val="Heading1"/>
        <w:spacing w:after="160" w:before="280"/>
      </w:pPr>
      <w:r>
        <w:t xml:space="preserve">8. Administración, Diagnóstico y Mantenimiento</w:t>
      </w:r>
    </w:p>
    <w:p>
      <w:pPr>
        <w:spacing w:after="90" w:line="242"/>
        <w:jc w:val="both"/>
      </w:pPr>
      <w:r>
        <w:t xml:space="preserve">La gestión operativa de una infraestructura de almacenamiento convergente requiere disponer de herramientas que permitan actuar con rapidez ante cualquier incidencia detectada en la SAN. A tal efecto, se distinguen dos interfaces complementarias de gestión: la QCS CLI, una interfaz de línea de comandos orientada a la automatización de tareas y al diagnóstico de la longitud de los cables, y la QCC GUI, que ofrece una monitorización visual más accesible para tareas de supervisión cotidiana.</w:t>
      </w:r>
    </w:p>
    <w:p>
      <w:pPr>
        <w:spacing w:after="90" w:line="242"/>
        <w:jc w:val="both"/>
      </w:pPr>
      <w:r>
        <w:t xml:space="preserve">En cuanto al mantenimiento preventivo, todo técnico debe conocer la interpretación correcta de los indicadores LED de los adaptadores: una luz fija indica la existencia de enlace activo, mientras que el parpadeo señala actividad de red en curso. Resulta igualmente importante garantizar el cumplimiento de los estándares de gestión de energía ACPI, así como la disponibilidad de la función Wake on LAN (WoL), que permite el encendido remoto de equipos con fines de mantenimiento y eficiencia energética.</w:t>
      </w:r>
    </w:p>
    <w:p>
      <w:pPr>
        <w:spacing w:after="90" w:line="242"/>
        <w:jc w:val="both"/>
      </w:pPr>
      <w:r>
        <w:t xml:space="preserve">Finalmente, la monitorización continua de los registros del sistema permite detectar de forma temprana violaciones del protocolo iSCSI o errores en los motores de descarga FCoE, anticipándose así a posibles incidencias antes de que estas lleguen a afectar a la disponibilidad del servicio.</w:t>
      </w:r>
    </w:p>
    <w:p>
      <w:pPr>
        <w:pStyle w:val="Heading1"/>
        <w:spacing w:after="160" w:before="280"/>
      </w:pPr>
      <w:r>
        <w:t xml:space="preserve">9. Conclusión</w:t>
      </w:r>
    </w:p>
    <w:p>
      <w:pPr>
        <w:spacing w:after="90" w:line="242"/>
        <w:jc w:val="both"/>
      </w:pPr>
      <w:r>
        <w:t xml:space="preserve">La convergencia de redes, sustentada en adaptadores C-NIC, protocolos como iSCSI y FCoE, mecanismos de alta disponibilidad como el teaming y las VLANs, y estándares de calidad de servicio como DCB, transforma la infraestructura de almacenamiento tradicional en un recurso flexible, resiliente y eficiente. Unida a las técnicas de virtualización (NPAR, SR-IOV, NPIV) y a una adecuada gestión de volúmenes mediante LVM, constituye la base del Centro de Datos Definido por Software (SDDC), modelo hacia el que se orientan las infraestructuras TIC de las administraciones públicas.</w:t>
      </w:r>
    </w:p>
    <w:sectPr>
      <w:pgSz w:w="11906" w:h="16838" w:orient="portrait"/>
      <w:pgMar w:top="850" w:right="850" w:bottom="850" w:left="8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3864" w:sz="6" w:space="2"/>
      </w:pBdr>
      <w:spacing w:after="80" w:before="160"/>
      <w:outlineLvl w:val="0"/>
    </w:pPr>
    <w:rPr>
      <w:rFonts w:ascii="Arial" w:cs="Arial" w:eastAsia="Arial" w:hAnsi="Arial"/>
      <w:b/>
      <w:bCs/>
      <w:color w:val="1F3864"/>
      <w:sz w:val="25"/>
      <w:szCs w:val="25"/>
    </w:rPr>
  </w:style>
  <w:style w:type="paragraph" w:styleId="Heading2">
    <w:name w:val="Heading 2"/>
    <w:basedOn w:val="Normal"/>
    <w:next w:val="Normal"/>
    <w:qFormat/>
    <w:pPr>
      <w:spacing w:after="60" w:before="120"/>
      <w:outlineLvl w:val="1"/>
    </w:pPr>
    <w:rPr>
      <w:rFonts w:ascii="Arial" w:cs="Arial" w:eastAsia="Arial" w:hAnsi="Arial"/>
      <w:b/>
      <w:bCs/>
      <w:color w:val="2E539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2026-06-17T19:01:25.919Z</dcterms:created>
  <dcterms:modified xsi:type="dcterms:W3CDTF">2026-06-17T19:01:25.920Z</dcterms:modified>
</cp:coreProperties>
</file>

<file path=docProps/custom.xml><?xml version="1.0" encoding="utf-8"?>
<Properties xmlns="http://schemas.openxmlformats.org/officeDocument/2006/custom-properties" xmlns:vt="http://schemas.openxmlformats.org/officeDocument/2006/docPropsVTypes"/>
</file>